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0D" w:rsidRDefault="00006797" w:rsidP="00006797">
      <w:pPr>
        <w:jc w:val="center"/>
        <w:rPr>
          <w:b/>
        </w:rPr>
      </w:pPr>
      <w:r>
        <w:rPr>
          <w:b/>
        </w:rPr>
        <w:t>REF OVERSIGHT COMMITTEE</w:t>
      </w:r>
    </w:p>
    <w:p w:rsidR="00006797" w:rsidRDefault="00006797" w:rsidP="00006797">
      <w:pPr>
        <w:jc w:val="center"/>
        <w:rPr>
          <w:b/>
        </w:rPr>
      </w:pPr>
      <w:r>
        <w:rPr>
          <w:b/>
        </w:rPr>
        <w:t xml:space="preserve">Notes and </w:t>
      </w:r>
      <w:r w:rsidR="00FE628B">
        <w:rPr>
          <w:b/>
        </w:rPr>
        <w:t>A</w:t>
      </w:r>
      <w:r>
        <w:rPr>
          <w:b/>
        </w:rPr>
        <w:t xml:space="preserve">ctions from the </w:t>
      </w:r>
      <w:r w:rsidR="00FE628B">
        <w:rPr>
          <w:b/>
        </w:rPr>
        <w:t>M</w:t>
      </w:r>
      <w:r>
        <w:rPr>
          <w:b/>
        </w:rPr>
        <w:t xml:space="preserve">eeting </w:t>
      </w:r>
      <w:r w:rsidR="00FE628B">
        <w:rPr>
          <w:b/>
        </w:rPr>
        <w:t>H</w:t>
      </w:r>
      <w:r>
        <w:rPr>
          <w:b/>
        </w:rPr>
        <w:t xml:space="preserve">eld </w:t>
      </w:r>
      <w:r w:rsidR="00FE628B">
        <w:rPr>
          <w:b/>
        </w:rPr>
        <w:t>on 12 September 2</w:t>
      </w:r>
      <w:r>
        <w:rPr>
          <w:b/>
        </w:rPr>
        <w:t>019</w:t>
      </w:r>
    </w:p>
    <w:p w:rsidR="007B4A16" w:rsidRPr="007B4A16" w:rsidRDefault="00006797" w:rsidP="00006797">
      <w:r>
        <w:rPr>
          <w:b/>
        </w:rPr>
        <w:t>PRESENT:</w:t>
      </w:r>
      <w:r w:rsidR="009B2F7C">
        <w:t xml:space="preserve"> </w:t>
      </w:r>
      <w:r w:rsidR="009B2F7C" w:rsidRPr="00006797">
        <w:t xml:space="preserve">Prof </w:t>
      </w:r>
      <w:r w:rsidR="009B2F7C">
        <w:t>Andrew Ball (AB),</w:t>
      </w:r>
      <w:r w:rsidR="007D56B2">
        <w:t xml:space="preserve"> </w:t>
      </w:r>
      <w:r w:rsidR="00FE628B">
        <w:t xml:space="preserve">Siobhan Campbell (SC), </w:t>
      </w:r>
      <w:r w:rsidR="00FE628B" w:rsidRPr="00FE628B">
        <w:t>Prof Dave Taylor (DT)</w:t>
      </w:r>
      <w:r w:rsidR="00FE628B">
        <w:t>,</w:t>
      </w:r>
      <w:r w:rsidR="007D56B2">
        <w:t xml:space="preserve"> </w:t>
      </w:r>
      <w:r>
        <w:t>Kirsty Taylor</w:t>
      </w:r>
      <w:r w:rsidR="00647E4F">
        <w:t xml:space="preserve"> (KT)</w:t>
      </w:r>
      <w:r w:rsidR="00FE628B">
        <w:t xml:space="preserve"> and Tracy Turner (TT)</w:t>
      </w:r>
    </w:p>
    <w:p w:rsidR="00006797" w:rsidRPr="00006797" w:rsidRDefault="00006797" w:rsidP="00006797">
      <w:r>
        <w:rPr>
          <w:b/>
        </w:rPr>
        <w:t xml:space="preserve">IN ATTENDANCE: </w:t>
      </w:r>
      <w:r w:rsidR="00FE628B">
        <w:t>Gillian Booth</w:t>
      </w:r>
      <w:r>
        <w:t xml:space="preserve"> (notes)</w:t>
      </w:r>
    </w:p>
    <w:tbl>
      <w:tblPr>
        <w:tblStyle w:val="TableGrid"/>
        <w:tblW w:w="0" w:type="auto"/>
        <w:tblLook w:val="04A0" w:firstRow="1" w:lastRow="0" w:firstColumn="1" w:lastColumn="0" w:noHBand="0" w:noVBand="1"/>
      </w:tblPr>
      <w:tblGrid>
        <w:gridCol w:w="704"/>
        <w:gridCol w:w="7229"/>
        <w:gridCol w:w="1083"/>
      </w:tblGrid>
      <w:tr w:rsidR="00006797" w:rsidTr="00006797">
        <w:tc>
          <w:tcPr>
            <w:tcW w:w="704" w:type="dxa"/>
          </w:tcPr>
          <w:p w:rsidR="00006797" w:rsidRDefault="00006797" w:rsidP="00006797">
            <w:pPr>
              <w:rPr>
                <w:b/>
              </w:rPr>
            </w:pPr>
          </w:p>
        </w:tc>
        <w:tc>
          <w:tcPr>
            <w:tcW w:w="7229" w:type="dxa"/>
          </w:tcPr>
          <w:p w:rsidR="00006797" w:rsidRDefault="00006797" w:rsidP="00006797">
            <w:pPr>
              <w:rPr>
                <w:b/>
              </w:rPr>
            </w:pPr>
          </w:p>
        </w:tc>
        <w:tc>
          <w:tcPr>
            <w:tcW w:w="1083" w:type="dxa"/>
          </w:tcPr>
          <w:p w:rsidR="00006797" w:rsidRPr="00006797" w:rsidRDefault="00006797" w:rsidP="00006797">
            <w:pPr>
              <w:rPr>
                <w:b/>
              </w:rPr>
            </w:pPr>
            <w:r>
              <w:rPr>
                <w:b/>
              </w:rPr>
              <w:t>ACTIONS</w:t>
            </w:r>
          </w:p>
        </w:tc>
      </w:tr>
      <w:tr w:rsidR="00FE628B" w:rsidTr="00006797">
        <w:tc>
          <w:tcPr>
            <w:tcW w:w="704" w:type="dxa"/>
          </w:tcPr>
          <w:p w:rsidR="00FE628B" w:rsidRDefault="00FE628B" w:rsidP="00006797">
            <w:pPr>
              <w:rPr>
                <w:b/>
              </w:rPr>
            </w:pPr>
            <w:r>
              <w:rPr>
                <w:b/>
              </w:rPr>
              <w:t>1.</w:t>
            </w:r>
          </w:p>
          <w:p w:rsidR="00FE628B" w:rsidRDefault="00FE628B" w:rsidP="00006797">
            <w:pPr>
              <w:rPr>
                <w:b/>
              </w:rPr>
            </w:pPr>
          </w:p>
          <w:p w:rsidR="00FE628B" w:rsidRDefault="00FE628B" w:rsidP="00006797">
            <w:pPr>
              <w:rPr>
                <w:b/>
              </w:rPr>
            </w:pPr>
            <w:r>
              <w:rPr>
                <w:b/>
              </w:rPr>
              <w:t>1.1</w:t>
            </w:r>
          </w:p>
        </w:tc>
        <w:tc>
          <w:tcPr>
            <w:tcW w:w="7229" w:type="dxa"/>
          </w:tcPr>
          <w:p w:rsidR="00FE628B" w:rsidRDefault="00FE628B" w:rsidP="00006797">
            <w:pPr>
              <w:rPr>
                <w:b/>
              </w:rPr>
            </w:pPr>
            <w:r>
              <w:rPr>
                <w:b/>
              </w:rPr>
              <w:t>APOLOGIES FOR ABSENCE</w:t>
            </w:r>
          </w:p>
          <w:p w:rsidR="00FE628B" w:rsidRDefault="00FE628B" w:rsidP="00006797">
            <w:pPr>
              <w:rPr>
                <w:b/>
              </w:rPr>
            </w:pPr>
          </w:p>
          <w:p w:rsidR="00FE628B" w:rsidRDefault="00FE628B" w:rsidP="00006797">
            <w:r>
              <w:t>Apologies for absence were received from Liz Towns-Andrews.</w:t>
            </w:r>
          </w:p>
          <w:p w:rsidR="00FE628B" w:rsidRPr="00FE628B" w:rsidRDefault="00FE628B" w:rsidP="00006797"/>
        </w:tc>
        <w:tc>
          <w:tcPr>
            <w:tcW w:w="1083" w:type="dxa"/>
          </w:tcPr>
          <w:p w:rsidR="00FE628B" w:rsidRDefault="00FE628B" w:rsidP="00006797">
            <w:pPr>
              <w:rPr>
                <w:b/>
              </w:rPr>
            </w:pPr>
          </w:p>
        </w:tc>
      </w:tr>
      <w:tr w:rsidR="00006797" w:rsidTr="00006797">
        <w:tc>
          <w:tcPr>
            <w:tcW w:w="704" w:type="dxa"/>
          </w:tcPr>
          <w:p w:rsidR="00006797" w:rsidRDefault="00FE628B" w:rsidP="00006797">
            <w:r>
              <w:rPr>
                <w:b/>
              </w:rPr>
              <w:t>2</w:t>
            </w:r>
            <w:r w:rsidR="00006797">
              <w:rPr>
                <w:b/>
              </w:rPr>
              <w:t>.</w:t>
            </w:r>
          </w:p>
          <w:p w:rsidR="00647E4F" w:rsidRDefault="00647E4F" w:rsidP="00006797"/>
          <w:p w:rsidR="00174B21" w:rsidRDefault="00FE628B" w:rsidP="00006797">
            <w:r>
              <w:t>2</w:t>
            </w:r>
            <w:r w:rsidR="00647E4F">
              <w:t>.1</w:t>
            </w:r>
          </w:p>
          <w:p w:rsidR="00435F7E" w:rsidRDefault="00435F7E" w:rsidP="00006797"/>
          <w:p w:rsidR="00435F7E" w:rsidRPr="00647E4F" w:rsidRDefault="00FE628B" w:rsidP="00FE628B">
            <w:r>
              <w:t>2</w:t>
            </w:r>
            <w:r w:rsidR="00435F7E">
              <w:t>.2</w:t>
            </w:r>
          </w:p>
        </w:tc>
        <w:tc>
          <w:tcPr>
            <w:tcW w:w="7229" w:type="dxa"/>
          </w:tcPr>
          <w:p w:rsidR="00006797" w:rsidRDefault="007D56B2" w:rsidP="00006797">
            <w:r>
              <w:rPr>
                <w:b/>
              </w:rPr>
              <w:t xml:space="preserve">MINUTES OF THE MEETING </w:t>
            </w:r>
            <w:r w:rsidR="007B4A16">
              <w:rPr>
                <w:b/>
              </w:rPr>
              <w:t>2</w:t>
            </w:r>
            <w:r w:rsidR="00FE628B">
              <w:rPr>
                <w:b/>
              </w:rPr>
              <w:t>3 JULY</w:t>
            </w:r>
            <w:r>
              <w:rPr>
                <w:b/>
              </w:rPr>
              <w:t xml:space="preserve"> 2019 AND MATTERS ARISING</w:t>
            </w:r>
          </w:p>
          <w:p w:rsidR="00006797" w:rsidRDefault="00006797" w:rsidP="00006797"/>
          <w:p w:rsidR="00435F7E" w:rsidRDefault="007D56B2" w:rsidP="00006797">
            <w:r>
              <w:t xml:space="preserve">The minutes were approved.  </w:t>
            </w:r>
          </w:p>
          <w:p w:rsidR="00435F7E" w:rsidRDefault="00435F7E" w:rsidP="00006797"/>
          <w:p w:rsidR="00640F77" w:rsidRDefault="00435F7E" w:rsidP="00006797">
            <w:r>
              <w:t>M</w:t>
            </w:r>
            <w:r w:rsidR="007B4A16">
              <w:t>atters arising</w:t>
            </w:r>
            <w:r w:rsidR="00FE628B">
              <w:t>:  It was noted that all the necessary action points had been appropriately addressed.</w:t>
            </w:r>
          </w:p>
          <w:p w:rsidR="00640F77" w:rsidRPr="00640F77" w:rsidRDefault="00640F77" w:rsidP="009B2F7C"/>
        </w:tc>
        <w:tc>
          <w:tcPr>
            <w:tcW w:w="1083" w:type="dxa"/>
          </w:tcPr>
          <w:p w:rsidR="00640F77" w:rsidRDefault="00640F77" w:rsidP="00006797">
            <w:pPr>
              <w:rPr>
                <w:b/>
              </w:rPr>
            </w:pPr>
          </w:p>
        </w:tc>
      </w:tr>
      <w:tr w:rsidR="00647E4F" w:rsidTr="00006797">
        <w:tc>
          <w:tcPr>
            <w:tcW w:w="704" w:type="dxa"/>
          </w:tcPr>
          <w:p w:rsidR="00647E4F" w:rsidRDefault="00FE628B" w:rsidP="00006797">
            <w:r>
              <w:rPr>
                <w:b/>
              </w:rPr>
              <w:t>3</w:t>
            </w:r>
            <w:r w:rsidR="00647E4F">
              <w:rPr>
                <w:b/>
              </w:rPr>
              <w:t>.</w:t>
            </w:r>
          </w:p>
          <w:p w:rsidR="00647E4F" w:rsidRDefault="00647E4F" w:rsidP="00006797"/>
          <w:p w:rsidR="00647E4F" w:rsidRDefault="00FE628B" w:rsidP="00006797">
            <w:r>
              <w:t>3</w:t>
            </w:r>
            <w:r w:rsidR="00647E4F">
              <w:t>.1</w:t>
            </w:r>
          </w:p>
          <w:p w:rsidR="00BC084A" w:rsidRDefault="00BC084A" w:rsidP="00006797"/>
          <w:p w:rsidR="00BC084A" w:rsidRDefault="00BC084A" w:rsidP="00006797"/>
          <w:p w:rsidR="00BC084A" w:rsidRDefault="00BC084A" w:rsidP="00006797"/>
          <w:p w:rsidR="00BC084A" w:rsidRDefault="00BC084A" w:rsidP="00006797">
            <w:r>
              <w:t>3.2</w:t>
            </w:r>
          </w:p>
          <w:p w:rsidR="00BC084A" w:rsidRDefault="00BC084A" w:rsidP="00006797"/>
          <w:p w:rsidR="00BC084A" w:rsidRDefault="00BC084A" w:rsidP="00006797"/>
          <w:p w:rsidR="00BC084A" w:rsidRDefault="00BC084A" w:rsidP="00006797"/>
          <w:p w:rsidR="00BC084A" w:rsidRDefault="00BC084A" w:rsidP="00006797">
            <w:r>
              <w:t>3.3</w:t>
            </w:r>
          </w:p>
          <w:p w:rsidR="00647E4F" w:rsidRDefault="00647E4F" w:rsidP="00006797"/>
          <w:p w:rsidR="00A95857" w:rsidRPr="00647E4F" w:rsidRDefault="00A95857" w:rsidP="00006797"/>
        </w:tc>
        <w:tc>
          <w:tcPr>
            <w:tcW w:w="7229" w:type="dxa"/>
          </w:tcPr>
          <w:p w:rsidR="00647E4F" w:rsidRPr="000E67EB" w:rsidRDefault="00FE628B" w:rsidP="00510905">
            <w:pPr>
              <w:pStyle w:val="TableParagraph"/>
              <w:ind w:left="42" w:hanging="42"/>
              <w:rPr>
                <w:rFonts w:asciiTheme="minorHAnsi" w:eastAsiaTheme="minorHAnsi" w:hAnsiTheme="minorHAnsi" w:cstheme="minorBidi"/>
                <w:b/>
                <w:lang w:val="en-GB"/>
              </w:rPr>
            </w:pPr>
            <w:r>
              <w:rPr>
                <w:rFonts w:asciiTheme="minorHAnsi" w:eastAsiaTheme="minorHAnsi" w:hAnsiTheme="minorHAnsi" w:cstheme="minorBidi"/>
                <w:b/>
                <w:lang w:val="en-GB"/>
              </w:rPr>
              <w:t>U</w:t>
            </w:r>
            <w:r w:rsidR="00BC084A">
              <w:rPr>
                <w:rFonts w:asciiTheme="minorHAnsi" w:eastAsiaTheme="minorHAnsi" w:hAnsiTheme="minorHAnsi" w:cstheme="minorBidi"/>
                <w:b/>
                <w:lang w:val="en-GB"/>
              </w:rPr>
              <w:t>O</w:t>
            </w:r>
            <w:r>
              <w:rPr>
                <w:rFonts w:asciiTheme="minorHAnsi" w:eastAsiaTheme="minorHAnsi" w:hAnsiTheme="minorHAnsi" w:cstheme="minorBidi"/>
                <w:b/>
                <w:lang w:val="en-GB"/>
              </w:rPr>
              <w:t xml:space="preserve">A 33 </w:t>
            </w:r>
            <w:r w:rsidR="006C1E78">
              <w:rPr>
                <w:rFonts w:asciiTheme="minorHAnsi" w:eastAsiaTheme="minorHAnsi" w:hAnsiTheme="minorHAnsi" w:cstheme="minorBidi"/>
                <w:b/>
                <w:lang w:val="en-GB"/>
              </w:rPr>
              <w:t>MULTIPLE</w:t>
            </w:r>
            <w:r>
              <w:rPr>
                <w:rFonts w:asciiTheme="minorHAnsi" w:eastAsiaTheme="minorHAnsi" w:hAnsiTheme="minorHAnsi" w:cstheme="minorBidi"/>
                <w:b/>
                <w:lang w:val="en-GB"/>
              </w:rPr>
              <w:t xml:space="preserve"> SUBISSION REQUEST</w:t>
            </w:r>
          </w:p>
          <w:p w:rsidR="00647E4F" w:rsidRPr="00510905" w:rsidRDefault="00647E4F" w:rsidP="00510905">
            <w:pPr>
              <w:pStyle w:val="TableParagraph"/>
              <w:ind w:left="42" w:hanging="42"/>
              <w:rPr>
                <w:rFonts w:asciiTheme="minorHAnsi" w:eastAsiaTheme="minorHAnsi" w:hAnsiTheme="minorHAnsi" w:cstheme="minorBidi"/>
                <w:lang w:val="en-GB"/>
              </w:rPr>
            </w:pPr>
          </w:p>
          <w:p w:rsidR="00BC084A" w:rsidRDefault="00FE628B" w:rsidP="004F2CFA">
            <w:pPr>
              <w:pStyle w:val="TableParagraph"/>
              <w:rPr>
                <w:rFonts w:asciiTheme="minorHAnsi" w:eastAsiaTheme="minorHAnsi" w:hAnsiTheme="minorHAnsi" w:cstheme="minorBidi"/>
                <w:lang w:val="en-GB"/>
              </w:rPr>
            </w:pPr>
            <w:r>
              <w:rPr>
                <w:rFonts w:asciiTheme="minorHAnsi" w:eastAsiaTheme="minorHAnsi" w:hAnsiTheme="minorHAnsi" w:cstheme="minorBidi"/>
                <w:lang w:val="en-GB"/>
              </w:rPr>
              <w:t>T</w:t>
            </w:r>
            <w:r w:rsidR="004F2CFA">
              <w:rPr>
                <w:rFonts w:asciiTheme="minorHAnsi" w:eastAsiaTheme="minorHAnsi" w:hAnsiTheme="minorHAnsi" w:cstheme="minorBidi"/>
                <w:lang w:val="en-GB"/>
              </w:rPr>
              <w:t xml:space="preserve">T referred the Committee to the “Justification for Request” paper </w:t>
            </w:r>
            <w:r w:rsidR="00EA003B">
              <w:rPr>
                <w:rFonts w:asciiTheme="minorHAnsi" w:eastAsiaTheme="minorHAnsi" w:hAnsiTheme="minorHAnsi" w:cstheme="minorBidi"/>
                <w:lang w:val="en-GB"/>
              </w:rPr>
              <w:t>tabled</w:t>
            </w:r>
            <w:r w:rsidR="004F2CFA">
              <w:rPr>
                <w:rFonts w:asciiTheme="minorHAnsi" w:eastAsiaTheme="minorHAnsi" w:hAnsiTheme="minorHAnsi" w:cstheme="minorBidi"/>
                <w:lang w:val="en-GB"/>
              </w:rPr>
              <w:t xml:space="preserve"> in relation to Music and Drama.  She had spoken to Prof Monty Adkins and a compromise had been reached</w:t>
            </w:r>
            <w:r w:rsidR="006C1E78">
              <w:rPr>
                <w:rFonts w:asciiTheme="minorHAnsi" w:eastAsiaTheme="minorHAnsi" w:hAnsiTheme="minorHAnsi" w:cstheme="minorBidi"/>
                <w:lang w:val="en-GB"/>
              </w:rPr>
              <w:t xml:space="preserve"> over the wording. </w:t>
            </w:r>
            <w:r w:rsidR="004F2CFA">
              <w:rPr>
                <w:rFonts w:asciiTheme="minorHAnsi" w:eastAsiaTheme="minorHAnsi" w:hAnsiTheme="minorHAnsi" w:cstheme="minorBidi"/>
                <w:lang w:val="en-GB"/>
              </w:rPr>
              <w:t xml:space="preserve"> </w:t>
            </w:r>
          </w:p>
          <w:p w:rsidR="00BC084A" w:rsidRDefault="00BC084A" w:rsidP="004F2CFA">
            <w:pPr>
              <w:pStyle w:val="TableParagraph"/>
              <w:rPr>
                <w:rFonts w:asciiTheme="minorHAnsi" w:eastAsiaTheme="minorHAnsi" w:hAnsiTheme="minorHAnsi" w:cstheme="minorBidi"/>
                <w:lang w:val="en-GB"/>
              </w:rPr>
            </w:pPr>
          </w:p>
          <w:p w:rsidR="00FF4E84" w:rsidRDefault="00BC084A" w:rsidP="004F2CFA">
            <w:pPr>
              <w:pStyle w:val="TableParagraph"/>
              <w:rPr>
                <w:rFonts w:asciiTheme="minorHAnsi" w:eastAsiaTheme="minorHAnsi" w:hAnsiTheme="minorHAnsi" w:cstheme="minorBidi"/>
                <w:lang w:val="en-GB"/>
              </w:rPr>
            </w:pPr>
            <w:r>
              <w:rPr>
                <w:rFonts w:asciiTheme="minorHAnsi" w:eastAsiaTheme="minorHAnsi" w:hAnsiTheme="minorHAnsi" w:cstheme="minorBidi"/>
                <w:lang w:val="en-GB"/>
              </w:rPr>
              <w:t xml:space="preserve">It was agreed that consideration should be given to further revisions to the </w:t>
            </w:r>
            <w:r w:rsidR="004F2CFA">
              <w:rPr>
                <w:rFonts w:asciiTheme="minorHAnsi" w:eastAsiaTheme="minorHAnsi" w:hAnsiTheme="minorHAnsi" w:cstheme="minorBidi"/>
                <w:lang w:val="en-GB"/>
              </w:rPr>
              <w:t xml:space="preserve">wording in the paper so as not to draw attention to </w:t>
            </w:r>
            <w:r w:rsidR="00EA003B">
              <w:rPr>
                <w:rFonts w:asciiTheme="minorHAnsi" w:eastAsiaTheme="minorHAnsi" w:hAnsiTheme="minorHAnsi" w:cstheme="minorBidi"/>
                <w:lang w:val="en-GB"/>
              </w:rPr>
              <w:t>(</w:t>
            </w:r>
            <w:r w:rsidR="004F2CFA">
              <w:rPr>
                <w:rFonts w:asciiTheme="minorHAnsi" w:eastAsiaTheme="minorHAnsi" w:hAnsiTheme="minorHAnsi" w:cstheme="minorBidi"/>
                <w:lang w:val="en-GB"/>
              </w:rPr>
              <w:t>or raise any questions about</w:t>
            </w:r>
            <w:r w:rsidR="00EA003B">
              <w:rPr>
                <w:rFonts w:asciiTheme="minorHAnsi" w:eastAsiaTheme="minorHAnsi" w:hAnsiTheme="minorHAnsi" w:cstheme="minorBidi"/>
                <w:lang w:val="en-GB"/>
              </w:rPr>
              <w:t>)</w:t>
            </w:r>
            <w:r w:rsidR="004F2CFA">
              <w:rPr>
                <w:rFonts w:asciiTheme="minorHAnsi" w:eastAsiaTheme="minorHAnsi" w:hAnsiTheme="minorHAnsi" w:cstheme="minorBidi"/>
                <w:lang w:val="en-GB"/>
              </w:rPr>
              <w:t xml:space="preserve"> the departments having previously been combined.</w:t>
            </w:r>
          </w:p>
          <w:p w:rsidR="00BC084A" w:rsidRDefault="00BC084A" w:rsidP="004F2CFA">
            <w:pPr>
              <w:pStyle w:val="TableParagraph"/>
              <w:rPr>
                <w:rFonts w:asciiTheme="minorHAnsi" w:eastAsiaTheme="minorHAnsi" w:hAnsiTheme="minorHAnsi" w:cstheme="minorBidi"/>
                <w:lang w:val="en-GB"/>
              </w:rPr>
            </w:pPr>
          </w:p>
          <w:p w:rsidR="00BC084A" w:rsidRDefault="00BC084A" w:rsidP="004F2CFA">
            <w:pPr>
              <w:pStyle w:val="TableParagraph"/>
              <w:rPr>
                <w:rFonts w:asciiTheme="minorHAnsi" w:eastAsiaTheme="minorHAnsi" w:hAnsiTheme="minorHAnsi" w:cstheme="minorBidi"/>
                <w:lang w:val="en-GB"/>
              </w:rPr>
            </w:pPr>
            <w:r>
              <w:rPr>
                <w:rFonts w:asciiTheme="minorHAnsi" w:eastAsiaTheme="minorHAnsi" w:hAnsiTheme="minorHAnsi" w:cstheme="minorBidi"/>
                <w:lang w:val="en-GB"/>
              </w:rPr>
              <w:t>SM confirmed that the re-structure from three departments to two would be effective from 14 October 2019 onwards.</w:t>
            </w:r>
          </w:p>
          <w:p w:rsidR="004F2CFA" w:rsidRPr="009B2F7C" w:rsidRDefault="004F2CFA" w:rsidP="004F2CFA">
            <w:pPr>
              <w:pStyle w:val="TableParagraph"/>
              <w:rPr>
                <w:rFonts w:asciiTheme="minorHAnsi" w:eastAsiaTheme="minorHAnsi" w:hAnsiTheme="minorHAnsi" w:cstheme="minorBidi"/>
                <w:lang w:val="en-GB"/>
              </w:rPr>
            </w:pPr>
          </w:p>
        </w:tc>
        <w:tc>
          <w:tcPr>
            <w:tcW w:w="1083" w:type="dxa"/>
          </w:tcPr>
          <w:p w:rsidR="00FF4E84" w:rsidRDefault="00FF4E84" w:rsidP="00FF4E84">
            <w:pPr>
              <w:jc w:val="center"/>
              <w:rPr>
                <w:b/>
              </w:rPr>
            </w:pPr>
          </w:p>
          <w:p w:rsidR="004F2CFA" w:rsidRDefault="004F2CFA" w:rsidP="00FF4E84">
            <w:pPr>
              <w:jc w:val="center"/>
              <w:rPr>
                <w:b/>
              </w:rPr>
            </w:pPr>
          </w:p>
          <w:p w:rsidR="004F2CFA" w:rsidRDefault="004F2CFA" w:rsidP="00FF4E84">
            <w:pPr>
              <w:jc w:val="center"/>
              <w:rPr>
                <w:b/>
              </w:rPr>
            </w:pPr>
          </w:p>
          <w:p w:rsidR="004F2CFA" w:rsidRDefault="004F2CFA" w:rsidP="00FF4E84">
            <w:pPr>
              <w:jc w:val="center"/>
              <w:rPr>
                <w:b/>
              </w:rPr>
            </w:pPr>
          </w:p>
          <w:p w:rsidR="004F2CFA" w:rsidRDefault="004F2CFA" w:rsidP="00FF4E84">
            <w:pPr>
              <w:jc w:val="center"/>
              <w:rPr>
                <w:b/>
              </w:rPr>
            </w:pPr>
          </w:p>
          <w:p w:rsidR="004F2CFA" w:rsidRDefault="004F2CFA" w:rsidP="00FF4E84">
            <w:pPr>
              <w:jc w:val="center"/>
              <w:rPr>
                <w:b/>
              </w:rPr>
            </w:pPr>
          </w:p>
          <w:p w:rsidR="00BC084A" w:rsidRDefault="00BC084A" w:rsidP="00FF4E84">
            <w:pPr>
              <w:jc w:val="center"/>
              <w:rPr>
                <w:b/>
              </w:rPr>
            </w:pPr>
          </w:p>
          <w:p w:rsidR="004F2CFA" w:rsidRDefault="004F2CFA" w:rsidP="00FF4E84">
            <w:pPr>
              <w:jc w:val="center"/>
              <w:rPr>
                <w:b/>
              </w:rPr>
            </w:pPr>
          </w:p>
          <w:p w:rsidR="004F2CFA" w:rsidRPr="00BC084A" w:rsidRDefault="004F2CFA" w:rsidP="00FF4E84">
            <w:pPr>
              <w:jc w:val="center"/>
              <w:rPr>
                <w:b/>
              </w:rPr>
            </w:pPr>
            <w:r w:rsidRPr="00BC084A">
              <w:rPr>
                <w:b/>
              </w:rPr>
              <w:t>TT/KT</w:t>
            </w:r>
          </w:p>
        </w:tc>
      </w:tr>
      <w:tr w:rsidR="00D47C9A" w:rsidTr="00006797">
        <w:tc>
          <w:tcPr>
            <w:tcW w:w="704" w:type="dxa"/>
          </w:tcPr>
          <w:p w:rsidR="00D47C9A" w:rsidRDefault="00BC084A" w:rsidP="00006797">
            <w:r>
              <w:rPr>
                <w:b/>
              </w:rPr>
              <w:t>4</w:t>
            </w:r>
            <w:r w:rsidR="00F20378">
              <w:rPr>
                <w:b/>
              </w:rPr>
              <w:t>.</w:t>
            </w:r>
          </w:p>
          <w:p w:rsidR="00DF0B56" w:rsidRDefault="00DF0B56" w:rsidP="00006797"/>
          <w:p w:rsidR="00DF0B56" w:rsidRDefault="00BC084A" w:rsidP="00006797">
            <w:r>
              <w:t>4.1</w:t>
            </w:r>
          </w:p>
          <w:p w:rsidR="0002528E" w:rsidRDefault="0002528E" w:rsidP="00006797"/>
          <w:p w:rsidR="0002528E" w:rsidRDefault="0002528E" w:rsidP="00006797"/>
          <w:p w:rsidR="0002528E" w:rsidRDefault="0002528E" w:rsidP="00006797"/>
          <w:p w:rsidR="0002528E" w:rsidRDefault="0002528E" w:rsidP="00006797">
            <w:r>
              <w:t>4.2</w:t>
            </w:r>
          </w:p>
          <w:p w:rsidR="000D4A55" w:rsidRDefault="000D4A55" w:rsidP="00006797"/>
          <w:p w:rsidR="000D4A55" w:rsidRDefault="000D4A55" w:rsidP="00006797"/>
          <w:p w:rsidR="000D4A55" w:rsidRDefault="000D4A55" w:rsidP="00006797"/>
          <w:p w:rsidR="000D4A55" w:rsidRDefault="000D4A55" w:rsidP="00006797"/>
          <w:p w:rsidR="000D4A55" w:rsidRDefault="000D4A55" w:rsidP="00006797"/>
          <w:p w:rsidR="000D4A55" w:rsidRDefault="000D4A55" w:rsidP="00006797"/>
          <w:p w:rsidR="000D4A55" w:rsidRDefault="000D4A55" w:rsidP="00006797"/>
          <w:p w:rsidR="000D4A55" w:rsidRDefault="000D4A55" w:rsidP="00006797"/>
          <w:p w:rsidR="000D4A55" w:rsidRDefault="000D4A55" w:rsidP="00006797"/>
          <w:p w:rsidR="000D4A55" w:rsidRDefault="000D4A55" w:rsidP="00006797"/>
          <w:p w:rsidR="000D4A55" w:rsidRDefault="000D4A55" w:rsidP="00006797"/>
          <w:p w:rsidR="003E2D5C" w:rsidRDefault="003E2D5C" w:rsidP="00FF4E84"/>
          <w:p w:rsidR="003E2D5C" w:rsidRDefault="003E2D5C" w:rsidP="00FF4E84"/>
          <w:p w:rsidR="003E2D5C" w:rsidRDefault="003E2D5C" w:rsidP="00FF4E84"/>
          <w:p w:rsidR="003E2D5C" w:rsidRDefault="003E2D5C" w:rsidP="00FF4E84"/>
          <w:p w:rsidR="00BC24B1" w:rsidRDefault="000D4A55" w:rsidP="00FF4E84">
            <w:r>
              <w:lastRenderedPageBreak/>
              <w:t>4.3</w:t>
            </w:r>
          </w:p>
          <w:p w:rsidR="005C42EE" w:rsidRDefault="005C42EE" w:rsidP="00FF4E84"/>
          <w:p w:rsidR="005C42EE" w:rsidRDefault="005C42EE" w:rsidP="00FF4E84"/>
          <w:p w:rsidR="005C42EE" w:rsidRPr="00DF0B56" w:rsidRDefault="005C42EE" w:rsidP="00FF4E84"/>
        </w:tc>
        <w:tc>
          <w:tcPr>
            <w:tcW w:w="7229" w:type="dxa"/>
          </w:tcPr>
          <w:p w:rsidR="005D290C" w:rsidRDefault="00435F7E" w:rsidP="00647E4F">
            <w:pPr>
              <w:rPr>
                <w:b/>
              </w:rPr>
            </w:pPr>
            <w:r>
              <w:rPr>
                <w:b/>
              </w:rPr>
              <w:lastRenderedPageBreak/>
              <w:t>UOA</w:t>
            </w:r>
            <w:r w:rsidR="00BC084A">
              <w:rPr>
                <w:b/>
              </w:rPr>
              <w:t xml:space="preserve"> OPTIONS</w:t>
            </w:r>
          </w:p>
          <w:p w:rsidR="00BC084A" w:rsidRDefault="00BC084A" w:rsidP="00647E4F">
            <w:pPr>
              <w:rPr>
                <w:b/>
              </w:rPr>
            </w:pPr>
          </w:p>
          <w:p w:rsidR="0002528E" w:rsidRDefault="00BC084A" w:rsidP="00647E4F">
            <w:r>
              <w:t xml:space="preserve">The Committee considered the </w:t>
            </w:r>
            <w:r w:rsidR="0046329C">
              <w:t>3</w:t>
            </w:r>
            <w:r>
              <w:t xml:space="preserve"> U</w:t>
            </w:r>
            <w:r w:rsidR="00C4798F">
              <w:t>o</w:t>
            </w:r>
            <w:r>
              <w:t>A scenarios set out in the paper tabled</w:t>
            </w:r>
            <w:r w:rsidR="0002528E">
              <w:t xml:space="preserve">, including data on the quality of outputs, the number and quality of viable impact case studies and </w:t>
            </w:r>
            <w:r w:rsidR="003E2D5C">
              <w:t xml:space="preserve">consideration of </w:t>
            </w:r>
            <w:r w:rsidR="0002528E">
              <w:t>the research environment.</w:t>
            </w:r>
          </w:p>
          <w:p w:rsidR="0002528E" w:rsidRDefault="0002528E" w:rsidP="00647E4F"/>
          <w:p w:rsidR="0046329C" w:rsidRDefault="0046329C" w:rsidP="00647E4F">
            <w:r>
              <w:t>Following discussion</w:t>
            </w:r>
            <w:r w:rsidR="000D4A55">
              <w:t xml:space="preserve"> about the viability of each scenario</w:t>
            </w:r>
            <w:r>
              <w:t>, AB confirmed the following recommendations:</w:t>
            </w:r>
          </w:p>
          <w:p w:rsidR="0046329C" w:rsidRDefault="0046329C" w:rsidP="00647E4F"/>
          <w:p w:rsidR="0002528E" w:rsidRPr="000D4A55" w:rsidRDefault="003E2D5C" w:rsidP="00647E4F">
            <w:pPr>
              <w:rPr>
                <w:color w:val="FF0000"/>
              </w:rPr>
            </w:pPr>
            <w:r>
              <w:t>Mathematics</w:t>
            </w:r>
            <w:r w:rsidR="0046329C">
              <w:t xml:space="preserve"> -</w:t>
            </w:r>
            <w:r w:rsidR="00DC419D">
              <w:t xml:space="preserve"> </w:t>
            </w:r>
            <w:r w:rsidR="00F30107">
              <w:t>AB to discuss with Simon Iwnicki and Steve Donnelly</w:t>
            </w:r>
            <w:r w:rsidDel="003E2D5C">
              <w:t xml:space="preserve"> </w:t>
            </w:r>
            <w:r w:rsidR="00F30107">
              <w:t>t</w:t>
            </w:r>
            <w:r w:rsidR="000D4A55">
              <w:t xml:space="preserve">he viability of creating a small unit for Mathematics </w:t>
            </w:r>
            <w:r>
              <w:t xml:space="preserve">with 4.0FTE </w:t>
            </w:r>
            <w:r w:rsidR="000D4A55">
              <w:t xml:space="preserve">and making a request </w:t>
            </w:r>
            <w:r w:rsidR="00F30107">
              <w:t xml:space="preserve">to REF for small unit exemption. </w:t>
            </w:r>
            <w:r w:rsidR="00A40F25">
              <w:t xml:space="preserve"> </w:t>
            </w:r>
            <w:r>
              <w:t>If an exemption is agreed by Research England the University can still opt to submit that unit in 2020.</w:t>
            </w:r>
            <w:r w:rsidR="00F30107">
              <w:t xml:space="preserve"> </w:t>
            </w:r>
            <w:r w:rsidR="00A40F25">
              <w:t xml:space="preserve"> </w:t>
            </w:r>
            <w:r w:rsidR="00F30107">
              <w:t>In the meantime</w:t>
            </w:r>
            <w:r w:rsidR="00A40F25">
              <w:t>,</w:t>
            </w:r>
            <w:r>
              <w:t xml:space="preserve"> work should begin to generate</w:t>
            </w:r>
            <w:r w:rsidR="00F30107">
              <w:t xml:space="preserve"> a case for exemption</w:t>
            </w:r>
            <w:r>
              <w:t>.</w:t>
            </w:r>
          </w:p>
          <w:p w:rsidR="0002528E" w:rsidRDefault="0002528E" w:rsidP="00647E4F"/>
          <w:p w:rsidR="0046329C" w:rsidRDefault="003E2D5C" w:rsidP="00647E4F">
            <w:r>
              <w:t>Geography</w:t>
            </w:r>
            <w:r w:rsidR="0046329C">
              <w:t xml:space="preserve"> -</w:t>
            </w:r>
            <w:r w:rsidR="00DC419D">
              <w:t xml:space="preserve"> The University will not submit to </w:t>
            </w:r>
            <w:r w:rsidR="000D4A55">
              <w:t xml:space="preserve">UoA14 </w:t>
            </w:r>
            <w:r w:rsidR="00DC419D">
              <w:t>Geography and the staff should be included as part of UoA5 Biological Sciences.</w:t>
            </w:r>
          </w:p>
          <w:p w:rsidR="0046329C" w:rsidRDefault="0046329C" w:rsidP="00647E4F"/>
          <w:p w:rsidR="0046329C" w:rsidRDefault="003E2D5C" w:rsidP="00647E4F">
            <w:r>
              <w:t>Chemical Engineering</w:t>
            </w:r>
            <w:r w:rsidR="0046329C">
              <w:t xml:space="preserve"> -</w:t>
            </w:r>
            <w:r w:rsidR="00DC419D">
              <w:t xml:space="preserve"> The University should not move </w:t>
            </w:r>
            <w:r w:rsidR="000D4A55">
              <w:t xml:space="preserve">UoA8 </w:t>
            </w:r>
            <w:r w:rsidR="00DC419D">
              <w:t>Chemical Engineering staff into UoA12 Engineering and the staff should remain in UoA8 Chemistry.</w:t>
            </w:r>
          </w:p>
          <w:p w:rsidR="003E2D5C" w:rsidRDefault="003E2D5C" w:rsidP="00647E4F"/>
          <w:p w:rsidR="00947B2B" w:rsidRDefault="000D4A55" w:rsidP="000D4A55">
            <w:r>
              <w:lastRenderedPageBreak/>
              <w:t xml:space="preserve">It was agreed that the relevant </w:t>
            </w:r>
            <w:r w:rsidR="003E2D5C">
              <w:t xml:space="preserve">Deans, ADREs and </w:t>
            </w:r>
            <w:r>
              <w:t>UoA</w:t>
            </w:r>
            <w:bookmarkStart w:id="0" w:name="_GoBack"/>
            <w:bookmarkEnd w:id="0"/>
            <w:r>
              <w:t xml:space="preserve"> coordinators should be informed of the above recommendations as soon as possible and that the REF module “Pure” should be updated in line with the recommendations.</w:t>
            </w:r>
          </w:p>
          <w:p w:rsidR="00F30107" w:rsidRPr="00F20378" w:rsidRDefault="00F30107" w:rsidP="000D4A55"/>
        </w:tc>
        <w:tc>
          <w:tcPr>
            <w:tcW w:w="1083" w:type="dxa"/>
          </w:tcPr>
          <w:p w:rsidR="005C42EE" w:rsidRDefault="005C42EE" w:rsidP="00BC24B1">
            <w:pPr>
              <w:jc w:val="center"/>
              <w:rPr>
                <w:b/>
              </w:rPr>
            </w:pPr>
          </w:p>
          <w:p w:rsidR="000D4A55" w:rsidRDefault="000D4A55" w:rsidP="00BC24B1">
            <w:pPr>
              <w:jc w:val="center"/>
              <w:rPr>
                <w:b/>
              </w:rPr>
            </w:pPr>
          </w:p>
          <w:p w:rsidR="000D4A55" w:rsidRDefault="000D4A55"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Default="00F30107" w:rsidP="00BC24B1">
            <w:pPr>
              <w:jc w:val="center"/>
              <w:rPr>
                <w:b/>
              </w:rPr>
            </w:pPr>
          </w:p>
          <w:p w:rsidR="00F30107" w:rsidRPr="00F30107" w:rsidRDefault="00F30107" w:rsidP="00BC24B1">
            <w:pPr>
              <w:jc w:val="center"/>
              <w:rPr>
                <w:b/>
              </w:rPr>
            </w:pPr>
            <w:r w:rsidRPr="00F30107">
              <w:rPr>
                <w:b/>
              </w:rPr>
              <w:t>AB/KT</w:t>
            </w:r>
          </w:p>
          <w:p w:rsidR="000D4A55" w:rsidRDefault="000D4A55" w:rsidP="00BC24B1">
            <w:pPr>
              <w:jc w:val="center"/>
              <w:rPr>
                <w:b/>
              </w:rPr>
            </w:pPr>
          </w:p>
          <w:p w:rsidR="000D4A55" w:rsidRDefault="000D4A55" w:rsidP="00BC24B1">
            <w:pPr>
              <w:jc w:val="center"/>
              <w:rPr>
                <w:b/>
              </w:rPr>
            </w:pPr>
          </w:p>
          <w:p w:rsidR="000D4A55" w:rsidRDefault="000D4A55" w:rsidP="00BC24B1">
            <w:pPr>
              <w:jc w:val="center"/>
              <w:rPr>
                <w:b/>
              </w:rPr>
            </w:pPr>
          </w:p>
          <w:p w:rsidR="000D4A55" w:rsidRDefault="000D4A55" w:rsidP="00BC24B1">
            <w:pPr>
              <w:jc w:val="center"/>
              <w:rPr>
                <w:b/>
              </w:rPr>
            </w:pPr>
          </w:p>
          <w:p w:rsidR="000D4A55" w:rsidRDefault="000D4A55" w:rsidP="00BC24B1">
            <w:pPr>
              <w:jc w:val="center"/>
              <w:rPr>
                <w:b/>
              </w:rPr>
            </w:pPr>
          </w:p>
          <w:p w:rsidR="000D4A55" w:rsidRDefault="000D4A55" w:rsidP="00BC24B1">
            <w:pPr>
              <w:jc w:val="center"/>
              <w:rPr>
                <w:b/>
              </w:rPr>
            </w:pPr>
          </w:p>
          <w:p w:rsidR="000D4A55" w:rsidRDefault="000D4A55" w:rsidP="00BC24B1">
            <w:pPr>
              <w:jc w:val="center"/>
              <w:rPr>
                <w:b/>
              </w:rPr>
            </w:pPr>
          </w:p>
          <w:p w:rsidR="000D4A55" w:rsidRDefault="000D4A55" w:rsidP="00BC24B1">
            <w:pPr>
              <w:jc w:val="center"/>
              <w:rPr>
                <w:b/>
              </w:rPr>
            </w:pPr>
          </w:p>
          <w:p w:rsidR="000D4A55" w:rsidRDefault="000D4A55" w:rsidP="00BC24B1">
            <w:pPr>
              <w:jc w:val="center"/>
              <w:rPr>
                <w:b/>
              </w:rPr>
            </w:pPr>
          </w:p>
          <w:p w:rsidR="00F30107" w:rsidRDefault="00F30107" w:rsidP="00BC24B1">
            <w:pPr>
              <w:jc w:val="center"/>
              <w:rPr>
                <w:b/>
              </w:rPr>
            </w:pPr>
          </w:p>
          <w:p w:rsidR="000D4A55" w:rsidRPr="00EA003B" w:rsidRDefault="000D4A55" w:rsidP="00BC24B1">
            <w:pPr>
              <w:jc w:val="center"/>
              <w:rPr>
                <w:b/>
              </w:rPr>
            </w:pPr>
            <w:r w:rsidRPr="00EA003B">
              <w:rPr>
                <w:b/>
              </w:rPr>
              <w:t>KT</w:t>
            </w:r>
          </w:p>
        </w:tc>
      </w:tr>
      <w:tr w:rsidR="0089192A" w:rsidTr="00006797">
        <w:tc>
          <w:tcPr>
            <w:tcW w:w="704" w:type="dxa"/>
          </w:tcPr>
          <w:p w:rsidR="0089192A" w:rsidRDefault="0002528E" w:rsidP="00006797">
            <w:pPr>
              <w:rPr>
                <w:b/>
              </w:rPr>
            </w:pPr>
            <w:r>
              <w:rPr>
                <w:b/>
              </w:rPr>
              <w:lastRenderedPageBreak/>
              <w:t>5</w:t>
            </w:r>
            <w:r w:rsidR="0089192A">
              <w:rPr>
                <w:b/>
              </w:rPr>
              <w:t>.</w:t>
            </w:r>
          </w:p>
          <w:p w:rsidR="0089192A" w:rsidRDefault="0089192A" w:rsidP="00006797">
            <w:pPr>
              <w:rPr>
                <w:b/>
              </w:rPr>
            </w:pPr>
          </w:p>
          <w:p w:rsidR="0089192A" w:rsidRDefault="0002528E" w:rsidP="00006797">
            <w:r>
              <w:t>5</w:t>
            </w:r>
            <w:r w:rsidR="0089192A">
              <w:t>.1</w:t>
            </w:r>
          </w:p>
          <w:p w:rsidR="003B046E" w:rsidRDefault="003B046E" w:rsidP="00006797"/>
          <w:p w:rsidR="003B046E" w:rsidRDefault="003B046E" w:rsidP="00006797"/>
          <w:p w:rsidR="003B046E" w:rsidRDefault="003B046E" w:rsidP="00006797"/>
          <w:p w:rsidR="003B046E" w:rsidRDefault="003B046E" w:rsidP="00006797"/>
          <w:p w:rsidR="003B046E" w:rsidRDefault="0046329C" w:rsidP="00006797">
            <w:r>
              <w:t>5.2</w:t>
            </w:r>
          </w:p>
          <w:p w:rsidR="0046329C" w:rsidRDefault="0046329C" w:rsidP="00006797"/>
          <w:p w:rsidR="0046329C" w:rsidRDefault="0046329C" w:rsidP="00006797"/>
          <w:p w:rsidR="0046329C" w:rsidRDefault="0046329C" w:rsidP="00006797">
            <w:r>
              <w:t>5.3</w:t>
            </w:r>
          </w:p>
          <w:p w:rsidR="0046329C" w:rsidRDefault="0046329C" w:rsidP="00006797"/>
          <w:p w:rsidR="0046329C" w:rsidRDefault="0046329C" w:rsidP="00006797"/>
          <w:p w:rsidR="0046329C" w:rsidRDefault="0046329C" w:rsidP="00006797">
            <w:r>
              <w:t>5.4</w:t>
            </w:r>
          </w:p>
          <w:p w:rsidR="0046329C" w:rsidRDefault="0046329C" w:rsidP="00006797"/>
          <w:p w:rsidR="0046329C" w:rsidRDefault="0046329C" w:rsidP="00006797"/>
          <w:p w:rsidR="0046329C" w:rsidRDefault="0046329C" w:rsidP="00006797"/>
          <w:p w:rsidR="0046329C" w:rsidRPr="0089192A" w:rsidRDefault="0046329C" w:rsidP="00006797">
            <w:r>
              <w:t>5.5</w:t>
            </w:r>
          </w:p>
        </w:tc>
        <w:tc>
          <w:tcPr>
            <w:tcW w:w="7229" w:type="dxa"/>
          </w:tcPr>
          <w:p w:rsidR="0089755F" w:rsidRDefault="0046329C" w:rsidP="0089755F">
            <w:r>
              <w:rPr>
                <w:b/>
              </w:rPr>
              <w:t>OA COMPLIANCE</w:t>
            </w:r>
          </w:p>
          <w:p w:rsidR="0046329C" w:rsidRDefault="0046329C" w:rsidP="0089755F"/>
          <w:p w:rsidR="0046329C" w:rsidRDefault="0046329C" w:rsidP="0089755F">
            <w:r>
              <w:t>KT highlighted the importance of ensuring the necessary training was applied across all Schools.  It was noted that the library would only be undertaking training for PGRs and that KT would be arranging training for staff and funded PGRs.</w:t>
            </w:r>
          </w:p>
          <w:p w:rsidR="0046329C" w:rsidRDefault="0046329C" w:rsidP="0089755F"/>
          <w:p w:rsidR="0046329C" w:rsidRDefault="0046329C" w:rsidP="0046329C">
            <w:r>
              <w:t>The Committee agreed that Schools needed to be made aware of the impact that recruitment could have on the number of ICSs required</w:t>
            </w:r>
            <w:r w:rsidR="00C4798F">
              <w:t xml:space="preserve"> in some </w:t>
            </w:r>
            <w:proofErr w:type="spellStart"/>
            <w:r w:rsidR="00C4798F">
              <w:t>UoAs</w:t>
            </w:r>
            <w:proofErr w:type="spellEnd"/>
            <w:r>
              <w:t>.</w:t>
            </w:r>
          </w:p>
          <w:p w:rsidR="0046329C" w:rsidRDefault="0046329C" w:rsidP="0046329C"/>
          <w:p w:rsidR="0046329C" w:rsidRDefault="0046329C" w:rsidP="0046329C">
            <w:r>
              <w:t>It was noted that A</w:t>
            </w:r>
            <w:r w:rsidR="00C4798F">
              <w:t>l</w:t>
            </w:r>
            <w:r>
              <w:t>lied Health, Chemistry and Music were all very close to their FTE count to go into the next band for ICS.</w:t>
            </w:r>
          </w:p>
          <w:p w:rsidR="0046329C" w:rsidRDefault="0046329C" w:rsidP="0046329C"/>
          <w:p w:rsidR="0046329C" w:rsidRDefault="0046329C" w:rsidP="0046329C">
            <w:r>
              <w:t>SM informed the meeting that she was not expecting there to be a huge amount of movement or fluctuation in recruitment and KT confirmed that she was keeping any staff additions under close review.</w:t>
            </w:r>
          </w:p>
          <w:p w:rsidR="0046329C" w:rsidRDefault="0046329C" w:rsidP="0046329C"/>
          <w:p w:rsidR="0046329C" w:rsidRDefault="0046329C" w:rsidP="0046329C">
            <w:r>
              <w:t>The Committee also considered the impact of staff</w:t>
            </w:r>
            <w:r w:rsidR="00EA003B">
              <w:t xml:space="preserve"> leaving the University</w:t>
            </w:r>
            <w:r>
              <w:t>.</w:t>
            </w:r>
          </w:p>
          <w:p w:rsidR="0046329C" w:rsidRPr="0046329C" w:rsidRDefault="0046329C" w:rsidP="0046329C"/>
        </w:tc>
        <w:tc>
          <w:tcPr>
            <w:tcW w:w="1083" w:type="dxa"/>
          </w:tcPr>
          <w:p w:rsidR="003B046E" w:rsidRDefault="003B046E" w:rsidP="003B046E">
            <w:pPr>
              <w:jc w:val="center"/>
              <w:rPr>
                <w:b/>
              </w:rPr>
            </w:pPr>
          </w:p>
          <w:p w:rsidR="00EA003B" w:rsidRDefault="00EA003B" w:rsidP="003B046E">
            <w:pPr>
              <w:jc w:val="center"/>
              <w:rPr>
                <w:b/>
              </w:rPr>
            </w:pPr>
          </w:p>
          <w:p w:rsidR="00EA003B" w:rsidRDefault="00EA003B" w:rsidP="003B046E">
            <w:pPr>
              <w:jc w:val="center"/>
              <w:rPr>
                <w:b/>
              </w:rPr>
            </w:pPr>
          </w:p>
          <w:p w:rsidR="00EA003B" w:rsidRDefault="00EA003B" w:rsidP="003B046E">
            <w:pPr>
              <w:jc w:val="center"/>
              <w:rPr>
                <w:b/>
              </w:rPr>
            </w:pPr>
          </w:p>
          <w:p w:rsidR="00EA003B" w:rsidRDefault="00EA003B" w:rsidP="003B046E">
            <w:pPr>
              <w:jc w:val="center"/>
              <w:rPr>
                <w:b/>
              </w:rPr>
            </w:pPr>
          </w:p>
          <w:p w:rsidR="00EA003B" w:rsidRDefault="00EA003B" w:rsidP="003B046E">
            <w:pPr>
              <w:jc w:val="center"/>
              <w:rPr>
                <w:b/>
              </w:rPr>
            </w:pPr>
          </w:p>
          <w:p w:rsidR="00EA003B" w:rsidRDefault="00EA003B" w:rsidP="003B046E">
            <w:pPr>
              <w:jc w:val="center"/>
              <w:rPr>
                <w:b/>
              </w:rPr>
            </w:pPr>
          </w:p>
          <w:p w:rsidR="00EA003B" w:rsidRDefault="00EA003B" w:rsidP="003B046E">
            <w:pPr>
              <w:jc w:val="center"/>
              <w:rPr>
                <w:b/>
              </w:rPr>
            </w:pPr>
          </w:p>
          <w:p w:rsidR="00EA003B" w:rsidRPr="00EA003B" w:rsidRDefault="00EA003B" w:rsidP="003B046E">
            <w:pPr>
              <w:jc w:val="center"/>
              <w:rPr>
                <w:b/>
              </w:rPr>
            </w:pPr>
            <w:r w:rsidRPr="00EA003B">
              <w:rPr>
                <w:b/>
              </w:rPr>
              <w:t>KT</w:t>
            </w:r>
          </w:p>
        </w:tc>
      </w:tr>
      <w:tr w:rsidR="005B1E9D" w:rsidTr="00006797">
        <w:tc>
          <w:tcPr>
            <w:tcW w:w="704" w:type="dxa"/>
          </w:tcPr>
          <w:p w:rsidR="005B1E9D" w:rsidRDefault="0002528E" w:rsidP="00006797">
            <w:pPr>
              <w:rPr>
                <w:b/>
              </w:rPr>
            </w:pPr>
            <w:r>
              <w:rPr>
                <w:b/>
              </w:rPr>
              <w:t>6</w:t>
            </w:r>
            <w:r w:rsidR="00BC24B1">
              <w:rPr>
                <w:b/>
              </w:rPr>
              <w:t>.</w:t>
            </w:r>
          </w:p>
          <w:p w:rsidR="0046329C" w:rsidRDefault="0046329C" w:rsidP="00006797">
            <w:pPr>
              <w:rPr>
                <w:b/>
              </w:rPr>
            </w:pPr>
          </w:p>
          <w:p w:rsidR="0046329C" w:rsidRPr="0046329C" w:rsidRDefault="0046329C" w:rsidP="00006797">
            <w:r w:rsidRPr="0046329C">
              <w:t>6.1</w:t>
            </w:r>
          </w:p>
          <w:p w:rsidR="0046329C" w:rsidRDefault="0046329C" w:rsidP="00006797">
            <w:pPr>
              <w:rPr>
                <w:b/>
              </w:rPr>
            </w:pPr>
          </w:p>
          <w:p w:rsidR="00E72668" w:rsidRDefault="00E72668" w:rsidP="00006797">
            <w:pPr>
              <w:rPr>
                <w:b/>
              </w:rPr>
            </w:pPr>
          </w:p>
          <w:p w:rsidR="00E72668" w:rsidRDefault="00E72668" w:rsidP="00006797">
            <w:pPr>
              <w:rPr>
                <w:b/>
              </w:rPr>
            </w:pPr>
          </w:p>
          <w:p w:rsidR="00E72668" w:rsidRDefault="00E72668" w:rsidP="00006797">
            <w:pPr>
              <w:rPr>
                <w:b/>
              </w:rPr>
            </w:pPr>
          </w:p>
          <w:p w:rsidR="00E72668" w:rsidRDefault="00E72668" w:rsidP="00006797">
            <w:pPr>
              <w:rPr>
                <w:b/>
              </w:rPr>
            </w:pPr>
          </w:p>
          <w:p w:rsidR="00E72668" w:rsidRDefault="00E72668" w:rsidP="00006797">
            <w:pPr>
              <w:rPr>
                <w:b/>
              </w:rPr>
            </w:pPr>
          </w:p>
          <w:p w:rsidR="00BC24B1" w:rsidRPr="00BC24B1" w:rsidRDefault="00BC24B1"/>
        </w:tc>
        <w:tc>
          <w:tcPr>
            <w:tcW w:w="7229" w:type="dxa"/>
          </w:tcPr>
          <w:p w:rsidR="005B1E9D" w:rsidRDefault="0002528E" w:rsidP="00647E4F">
            <w:r>
              <w:rPr>
                <w:b/>
              </w:rPr>
              <w:t>CODE OF PRACTICE</w:t>
            </w:r>
          </w:p>
          <w:p w:rsidR="0046329C" w:rsidRDefault="0046329C" w:rsidP="00647E4F"/>
          <w:p w:rsidR="0046329C" w:rsidRDefault="0046329C" w:rsidP="00647E4F">
            <w:r>
              <w:t>TT reported that feedback on the COP had been received in mid-August</w:t>
            </w:r>
            <w:r w:rsidR="00E72668">
              <w:t xml:space="preserve"> and </w:t>
            </w:r>
            <w:r w:rsidR="00C4798F">
              <w:t xml:space="preserve">that the COP had been </w:t>
            </w:r>
            <w:r w:rsidR="00E72668">
              <w:t>accepted, subject to further clarification wor</w:t>
            </w:r>
            <w:r w:rsidR="00EA003B">
              <w:t xml:space="preserve">k which had now been undertaken.  This </w:t>
            </w:r>
            <w:r w:rsidR="00C4798F">
              <w:t xml:space="preserve">required </w:t>
            </w:r>
            <w:r w:rsidR="00EA003B">
              <w:t>c</w:t>
            </w:r>
            <w:r w:rsidR="00E72668">
              <w:t>hange</w:t>
            </w:r>
            <w:r w:rsidR="00C4798F">
              <w:t>s to</w:t>
            </w:r>
            <w:r w:rsidR="00E72668">
              <w:t xml:space="preserve"> the document to address 3 key areas</w:t>
            </w:r>
            <w:r w:rsidR="00EA003B">
              <w:t>:</w:t>
            </w:r>
            <w:r w:rsidR="00E72668">
              <w:t xml:space="preserve"> </w:t>
            </w:r>
            <w:r w:rsidR="00C4798F">
              <w:t>the utilisation of equality impact assessments,</w:t>
            </w:r>
            <w:r w:rsidR="00E72668">
              <w:t xml:space="preserve"> </w:t>
            </w:r>
            <w:r w:rsidR="00C4798F">
              <w:t xml:space="preserve">further details regarding the REF specific EDI </w:t>
            </w:r>
            <w:r w:rsidR="00E72668">
              <w:t xml:space="preserve">training and </w:t>
            </w:r>
            <w:r w:rsidR="00C4798F">
              <w:t xml:space="preserve">clarifying the </w:t>
            </w:r>
            <w:r w:rsidR="00E72668">
              <w:t>criteria description</w:t>
            </w:r>
            <w:r w:rsidR="00C4798F">
              <w:t xml:space="preserve"> for SRR</w:t>
            </w:r>
            <w:r w:rsidR="00E72668">
              <w:t>.  The revised COP would be ready for submission by the deadline date of Friday, 20 September 2019.</w:t>
            </w:r>
          </w:p>
          <w:p w:rsidR="00223857" w:rsidRPr="00BC24B1" w:rsidRDefault="00223857"/>
        </w:tc>
        <w:tc>
          <w:tcPr>
            <w:tcW w:w="1083" w:type="dxa"/>
          </w:tcPr>
          <w:p w:rsidR="005B1E9D" w:rsidRDefault="005B1E9D" w:rsidP="00006797">
            <w:pPr>
              <w:rPr>
                <w:b/>
              </w:rPr>
            </w:pPr>
          </w:p>
          <w:p w:rsidR="00EA003B" w:rsidRDefault="00EA003B" w:rsidP="00006797">
            <w:pPr>
              <w:rPr>
                <w:b/>
              </w:rPr>
            </w:pPr>
          </w:p>
          <w:p w:rsidR="00EA003B" w:rsidRDefault="00EA003B" w:rsidP="00006797">
            <w:pPr>
              <w:rPr>
                <w:b/>
              </w:rPr>
            </w:pPr>
          </w:p>
          <w:p w:rsidR="00EA003B" w:rsidRDefault="00EA003B" w:rsidP="00006797">
            <w:pPr>
              <w:rPr>
                <w:b/>
              </w:rPr>
            </w:pPr>
          </w:p>
          <w:p w:rsidR="00EA003B" w:rsidRDefault="00EA003B" w:rsidP="00006797">
            <w:pPr>
              <w:rPr>
                <w:b/>
              </w:rPr>
            </w:pPr>
          </w:p>
          <w:p w:rsidR="00EA003B" w:rsidRDefault="00EA003B" w:rsidP="00006797">
            <w:pPr>
              <w:rPr>
                <w:b/>
              </w:rPr>
            </w:pPr>
          </w:p>
          <w:p w:rsidR="00EA003B" w:rsidRDefault="00EA003B" w:rsidP="00006797">
            <w:pPr>
              <w:rPr>
                <w:b/>
              </w:rPr>
            </w:pPr>
          </w:p>
          <w:p w:rsidR="00EA003B" w:rsidRPr="00EA003B" w:rsidRDefault="00EA003B" w:rsidP="00EA003B">
            <w:pPr>
              <w:jc w:val="center"/>
              <w:rPr>
                <w:b/>
              </w:rPr>
            </w:pPr>
            <w:r w:rsidRPr="00EA003B">
              <w:rPr>
                <w:b/>
              </w:rPr>
              <w:t>TT</w:t>
            </w:r>
          </w:p>
        </w:tc>
      </w:tr>
      <w:tr w:rsidR="00223857" w:rsidTr="00006797">
        <w:tc>
          <w:tcPr>
            <w:tcW w:w="704" w:type="dxa"/>
          </w:tcPr>
          <w:p w:rsidR="00223857" w:rsidRPr="00016690" w:rsidRDefault="00016690" w:rsidP="00006797">
            <w:pPr>
              <w:rPr>
                <w:b/>
              </w:rPr>
            </w:pPr>
            <w:r w:rsidRPr="00016690">
              <w:rPr>
                <w:b/>
              </w:rPr>
              <w:t>7.</w:t>
            </w:r>
          </w:p>
          <w:p w:rsidR="00711863" w:rsidRDefault="00711863" w:rsidP="00006797"/>
          <w:p w:rsidR="0046329C" w:rsidRPr="00E72668" w:rsidRDefault="0046329C" w:rsidP="00006797">
            <w:r w:rsidRPr="00E72668">
              <w:t>7.1</w:t>
            </w:r>
          </w:p>
          <w:p w:rsidR="0046329C" w:rsidRDefault="0046329C" w:rsidP="00006797"/>
          <w:p w:rsidR="00E72668" w:rsidRDefault="00E72668" w:rsidP="00006797"/>
          <w:p w:rsidR="00E72668" w:rsidRDefault="00E72668" w:rsidP="00006797"/>
          <w:p w:rsidR="00E72668" w:rsidRPr="00E72668" w:rsidRDefault="00E72668" w:rsidP="00006797"/>
          <w:p w:rsidR="0046329C" w:rsidRDefault="0046329C" w:rsidP="00006797">
            <w:r w:rsidRPr="00E72668">
              <w:t>7.2</w:t>
            </w:r>
          </w:p>
          <w:p w:rsidR="00E72668" w:rsidRDefault="00E72668" w:rsidP="00006797"/>
          <w:p w:rsidR="00E72668" w:rsidRPr="00E72668" w:rsidRDefault="00E72668" w:rsidP="00006797"/>
          <w:p w:rsidR="00711863" w:rsidRPr="00223857" w:rsidRDefault="00711863" w:rsidP="00006797"/>
        </w:tc>
        <w:tc>
          <w:tcPr>
            <w:tcW w:w="7229" w:type="dxa"/>
          </w:tcPr>
          <w:p w:rsidR="00A95857" w:rsidRDefault="00016690" w:rsidP="00647E4F">
            <w:r>
              <w:rPr>
                <w:b/>
              </w:rPr>
              <w:t>ANY OTHER BUSINESS</w:t>
            </w:r>
          </w:p>
          <w:p w:rsidR="00016690" w:rsidRDefault="00016690" w:rsidP="00647E4F"/>
          <w:p w:rsidR="00C4798F" w:rsidRDefault="00E72668" w:rsidP="0002528E">
            <w:r>
              <w:t xml:space="preserve">KT informed the Committee that she would be kick starting </w:t>
            </w:r>
            <w:r w:rsidR="00C4798F">
              <w:t>the information gathering for the Survey of Submission Intentions due in December 2019. It is in the University’s interests to supply as much detail as possible and to reflect what we are expecting to submit on a best estimates basis.</w:t>
            </w:r>
          </w:p>
          <w:p w:rsidR="00E72668" w:rsidRDefault="00E72668" w:rsidP="0002528E"/>
          <w:p w:rsidR="00016690" w:rsidRPr="00016690" w:rsidRDefault="00E72668" w:rsidP="00A40F25">
            <w:r>
              <w:t>TT advised the Committee that consideration also needed to be given to resources</w:t>
            </w:r>
            <w:r w:rsidR="00C4798F">
              <w:t xml:space="preserve"> for impact</w:t>
            </w:r>
            <w:r>
              <w:t xml:space="preserve"> case stud</w:t>
            </w:r>
            <w:r w:rsidR="00C4798F">
              <w:t>y work</w:t>
            </w:r>
            <w:r>
              <w:t xml:space="preserve"> and issue</w:t>
            </w:r>
            <w:r w:rsidR="00C4798F">
              <w:t>s</w:t>
            </w:r>
            <w:r>
              <w:t xml:space="preserve"> </w:t>
            </w:r>
            <w:r w:rsidR="00C4798F">
              <w:t>around</w:t>
            </w:r>
            <w:r>
              <w:t xml:space="preserve"> testimonials and that this will be raised at the next URC meeting.</w:t>
            </w:r>
          </w:p>
        </w:tc>
        <w:tc>
          <w:tcPr>
            <w:tcW w:w="1083" w:type="dxa"/>
          </w:tcPr>
          <w:p w:rsidR="00223857" w:rsidRDefault="00223857" w:rsidP="00006797">
            <w:pPr>
              <w:rPr>
                <w:b/>
              </w:rPr>
            </w:pPr>
          </w:p>
          <w:p w:rsidR="00633D35" w:rsidRDefault="00633D35" w:rsidP="00A30EF2">
            <w:pPr>
              <w:rPr>
                <w:b/>
              </w:rPr>
            </w:pPr>
          </w:p>
          <w:p w:rsidR="00E72668" w:rsidRDefault="00E72668" w:rsidP="00A30EF2">
            <w:pPr>
              <w:rPr>
                <w:b/>
              </w:rPr>
            </w:pPr>
          </w:p>
          <w:p w:rsidR="00E72668" w:rsidRDefault="00E72668" w:rsidP="00A30EF2">
            <w:pPr>
              <w:rPr>
                <w:b/>
              </w:rPr>
            </w:pPr>
          </w:p>
          <w:p w:rsidR="00E72668" w:rsidRDefault="00E72668" w:rsidP="00A30EF2">
            <w:pPr>
              <w:rPr>
                <w:b/>
              </w:rPr>
            </w:pPr>
          </w:p>
          <w:p w:rsidR="00E72668" w:rsidRDefault="00E72668" w:rsidP="00E72668">
            <w:pPr>
              <w:jc w:val="center"/>
              <w:rPr>
                <w:b/>
              </w:rPr>
            </w:pPr>
            <w:r>
              <w:rPr>
                <w:b/>
              </w:rPr>
              <w:t>KT</w:t>
            </w:r>
          </w:p>
          <w:p w:rsidR="00E72668" w:rsidRDefault="00E72668" w:rsidP="00E72668">
            <w:pPr>
              <w:jc w:val="center"/>
              <w:rPr>
                <w:b/>
              </w:rPr>
            </w:pPr>
          </w:p>
          <w:p w:rsidR="00E72668" w:rsidRDefault="00E72668" w:rsidP="00E72668">
            <w:pPr>
              <w:jc w:val="center"/>
              <w:rPr>
                <w:b/>
              </w:rPr>
            </w:pPr>
          </w:p>
          <w:p w:rsidR="00E72668" w:rsidRDefault="00E72668" w:rsidP="00E72668">
            <w:pPr>
              <w:jc w:val="center"/>
              <w:rPr>
                <w:b/>
              </w:rPr>
            </w:pPr>
          </w:p>
          <w:p w:rsidR="00DC419D" w:rsidRDefault="00E72668" w:rsidP="00A40F25">
            <w:pPr>
              <w:jc w:val="center"/>
              <w:rPr>
                <w:b/>
              </w:rPr>
            </w:pPr>
            <w:r>
              <w:rPr>
                <w:b/>
              </w:rPr>
              <w:t>TT</w:t>
            </w:r>
          </w:p>
        </w:tc>
      </w:tr>
      <w:tr w:rsidR="00223857" w:rsidTr="00006797">
        <w:tc>
          <w:tcPr>
            <w:tcW w:w="704" w:type="dxa"/>
          </w:tcPr>
          <w:p w:rsidR="00223857" w:rsidRPr="005B1E9D" w:rsidRDefault="00711863" w:rsidP="00223857">
            <w:pPr>
              <w:rPr>
                <w:b/>
              </w:rPr>
            </w:pPr>
            <w:r>
              <w:rPr>
                <w:b/>
              </w:rPr>
              <w:t>8</w:t>
            </w:r>
            <w:r w:rsidR="00223857" w:rsidRPr="005B1E9D">
              <w:rPr>
                <w:b/>
              </w:rPr>
              <w:t>.</w:t>
            </w:r>
          </w:p>
          <w:p w:rsidR="00223857" w:rsidRDefault="00223857" w:rsidP="00223857"/>
          <w:p w:rsidR="00223857" w:rsidRDefault="00711863" w:rsidP="00223857">
            <w:r>
              <w:t>8</w:t>
            </w:r>
            <w:r w:rsidR="00223857">
              <w:t>.1</w:t>
            </w:r>
          </w:p>
          <w:p w:rsidR="00DC419D" w:rsidRDefault="00DC419D" w:rsidP="00223857"/>
          <w:p w:rsidR="00DC419D" w:rsidRPr="005B1E9D" w:rsidRDefault="00DC419D" w:rsidP="00223857">
            <w:r>
              <w:t>8.2</w:t>
            </w:r>
          </w:p>
        </w:tc>
        <w:tc>
          <w:tcPr>
            <w:tcW w:w="7229" w:type="dxa"/>
          </w:tcPr>
          <w:p w:rsidR="00223857" w:rsidRDefault="00223857" w:rsidP="00223857">
            <w:pPr>
              <w:rPr>
                <w:b/>
              </w:rPr>
            </w:pPr>
            <w:r>
              <w:rPr>
                <w:b/>
              </w:rPr>
              <w:t>DATE OF NEXT MEETING</w:t>
            </w:r>
          </w:p>
          <w:p w:rsidR="00EA003B" w:rsidRDefault="00EA003B" w:rsidP="00223857">
            <w:pPr>
              <w:rPr>
                <w:b/>
              </w:rPr>
            </w:pPr>
          </w:p>
          <w:p w:rsidR="00223857" w:rsidRDefault="00223857" w:rsidP="00223857">
            <w:r>
              <w:t xml:space="preserve">The next meeting is scheduled </w:t>
            </w:r>
            <w:r w:rsidR="0046329C">
              <w:t>to be held on</w:t>
            </w:r>
            <w:r>
              <w:t xml:space="preserve"> </w:t>
            </w:r>
            <w:r w:rsidR="0046329C">
              <w:t>22 October</w:t>
            </w:r>
            <w:r>
              <w:t xml:space="preserve"> 2019 at 1</w:t>
            </w:r>
            <w:r w:rsidR="0046329C">
              <w:t>4:00</w:t>
            </w:r>
            <w:r>
              <w:t>.</w:t>
            </w:r>
          </w:p>
          <w:p w:rsidR="00DC419D" w:rsidRDefault="00DC419D" w:rsidP="00223857"/>
          <w:p w:rsidR="00DC419D" w:rsidRDefault="00DC419D" w:rsidP="00223857">
            <w:r>
              <w:t>SM gave her apologies for the next meeting.</w:t>
            </w:r>
          </w:p>
          <w:p w:rsidR="00223857" w:rsidRPr="005B1E9D" w:rsidRDefault="00223857" w:rsidP="00223857"/>
        </w:tc>
        <w:tc>
          <w:tcPr>
            <w:tcW w:w="1083" w:type="dxa"/>
          </w:tcPr>
          <w:p w:rsidR="00223857" w:rsidRDefault="00223857" w:rsidP="00223857">
            <w:pPr>
              <w:rPr>
                <w:b/>
              </w:rPr>
            </w:pPr>
          </w:p>
        </w:tc>
      </w:tr>
    </w:tbl>
    <w:p w:rsidR="00006797" w:rsidRPr="00006797" w:rsidRDefault="00006797" w:rsidP="00006797">
      <w:pPr>
        <w:rPr>
          <w:b/>
        </w:rPr>
      </w:pPr>
    </w:p>
    <w:sectPr w:rsidR="00006797" w:rsidRPr="00006797" w:rsidSect="00F30107">
      <w:head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98F" w:rsidRDefault="00A3598F" w:rsidP="00EA003B">
      <w:pPr>
        <w:spacing w:after="0" w:line="240" w:lineRule="auto"/>
      </w:pPr>
      <w:r>
        <w:separator/>
      </w:r>
    </w:p>
  </w:endnote>
  <w:endnote w:type="continuationSeparator" w:id="0">
    <w:p w:rsidR="00A3598F" w:rsidRDefault="00A3598F" w:rsidP="00EA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98F" w:rsidRDefault="00A3598F" w:rsidP="00EA003B">
      <w:pPr>
        <w:spacing w:after="0" w:line="240" w:lineRule="auto"/>
      </w:pPr>
      <w:r>
        <w:separator/>
      </w:r>
    </w:p>
  </w:footnote>
  <w:footnote w:type="continuationSeparator" w:id="0">
    <w:p w:rsidR="00A3598F" w:rsidRDefault="00A3598F" w:rsidP="00EA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3B" w:rsidRDefault="00EA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8627B"/>
    <w:multiLevelType w:val="hybridMultilevel"/>
    <w:tmpl w:val="FB1AC418"/>
    <w:lvl w:ilvl="0" w:tplc="D67E4F7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003A2C"/>
    <w:multiLevelType w:val="hybridMultilevel"/>
    <w:tmpl w:val="C5480924"/>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97"/>
    <w:rsid w:val="00006797"/>
    <w:rsid w:val="00016690"/>
    <w:rsid w:val="00020C33"/>
    <w:rsid w:val="0002528E"/>
    <w:rsid w:val="000D4A55"/>
    <w:rsid w:val="000E67EB"/>
    <w:rsid w:val="0013777E"/>
    <w:rsid w:val="00174B21"/>
    <w:rsid w:val="00187249"/>
    <w:rsid w:val="001B749D"/>
    <w:rsid w:val="001E10BE"/>
    <w:rsid w:val="001E22D8"/>
    <w:rsid w:val="00223857"/>
    <w:rsid w:val="00296201"/>
    <w:rsid w:val="002B2B9C"/>
    <w:rsid w:val="00350AF2"/>
    <w:rsid w:val="00353F30"/>
    <w:rsid w:val="003958F6"/>
    <w:rsid w:val="003B046E"/>
    <w:rsid w:val="003E2D5C"/>
    <w:rsid w:val="00435F7E"/>
    <w:rsid w:val="0046329C"/>
    <w:rsid w:val="004644F6"/>
    <w:rsid w:val="004D6356"/>
    <w:rsid w:val="004F2CFA"/>
    <w:rsid w:val="00510905"/>
    <w:rsid w:val="005B1E9D"/>
    <w:rsid w:val="005B3738"/>
    <w:rsid w:val="005C2413"/>
    <w:rsid w:val="005C42EE"/>
    <w:rsid w:val="005D290C"/>
    <w:rsid w:val="005F1F28"/>
    <w:rsid w:val="00633D35"/>
    <w:rsid w:val="00640F77"/>
    <w:rsid w:val="00647E4F"/>
    <w:rsid w:val="006C1E78"/>
    <w:rsid w:val="00711863"/>
    <w:rsid w:val="00743FC0"/>
    <w:rsid w:val="00792785"/>
    <w:rsid w:val="007B4A16"/>
    <w:rsid w:val="007D56B2"/>
    <w:rsid w:val="0085329D"/>
    <w:rsid w:val="0089192A"/>
    <w:rsid w:val="0089755F"/>
    <w:rsid w:val="008B683E"/>
    <w:rsid w:val="00910805"/>
    <w:rsid w:val="00947B2B"/>
    <w:rsid w:val="009970AF"/>
    <w:rsid w:val="009B2F7C"/>
    <w:rsid w:val="00A30EF2"/>
    <w:rsid w:val="00A3598F"/>
    <w:rsid w:val="00A40F25"/>
    <w:rsid w:val="00A867E2"/>
    <w:rsid w:val="00A95857"/>
    <w:rsid w:val="00A97C8B"/>
    <w:rsid w:val="00AF210D"/>
    <w:rsid w:val="00B52E35"/>
    <w:rsid w:val="00BC084A"/>
    <w:rsid w:val="00BC24B1"/>
    <w:rsid w:val="00C35FEF"/>
    <w:rsid w:val="00C4798F"/>
    <w:rsid w:val="00C50077"/>
    <w:rsid w:val="00C55F37"/>
    <w:rsid w:val="00D47C9A"/>
    <w:rsid w:val="00DC419D"/>
    <w:rsid w:val="00DF0B56"/>
    <w:rsid w:val="00E172D8"/>
    <w:rsid w:val="00E72668"/>
    <w:rsid w:val="00EA003B"/>
    <w:rsid w:val="00EE682C"/>
    <w:rsid w:val="00F20378"/>
    <w:rsid w:val="00F30107"/>
    <w:rsid w:val="00F3022C"/>
    <w:rsid w:val="00F77045"/>
    <w:rsid w:val="00FE628B"/>
    <w:rsid w:val="00FF4274"/>
    <w:rsid w:val="00FF4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1497CB-ED9A-4DD2-B740-78F2D2A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3F30"/>
    <w:rPr>
      <w:sz w:val="16"/>
      <w:szCs w:val="16"/>
    </w:rPr>
  </w:style>
  <w:style w:type="paragraph" w:styleId="CommentText">
    <w:name w:val="annotation text"/>
    <w:basedOn w:val="Normal"/>
    <w:link w:val="CommentTextChar"/>
    <w:uiPriority w:val="99"/>
    <w:semiHidden/>
    <w:unhideWhenUsed/>
    <w:rsid w:val="00353F30"/>
    <w:pPr>
      <w:spacing w:line="240" w:lineRule="auto"/>
    </w:pPr>
    <w:rPr>
      <w:sz w:val="20"/>
      <w:szCs w:val="20"/>
    </w:rPr>
  </w:style>
  <w:style w:type="character" w:customStyle="1" w:styleId="CommentTextChar">
    <w:name w:val="Comment Text Char"/>
    <w:basedOn w:val="DefaultParagraphFont"/>
    <w:link w:val="CommentText"/>
    <w:uiPriority w:val="99"/>
    <w:semiHidden/>
    <w:rsid w:val="00353F30"/>
    <w:rPr>
      <w:sz w:val="20"/>
      <w:szCs w:val="20"/>
    </w:rPr>
  </w:style>
  <w:style w:type="paragraph" w:styleId="CommentSubject">
    <w:name w:val="annotation subject"/>
    <w:basedOn w:val="CommentText"/>
    <w:next w:val="CommentText"/>
    <w:link w:val="CommentSubjectChar"/>
    <w:uiPriority w:val="99"/>
    <w:semiHidden/>
    <w:unhideWhenUsed/>
    <w:rsid w:val="00353F30"/>
    <w:rPr>
      <w:b/>
      <w:bCs/>
    </w:rPr>
  </w:style>
  <w:style w:type="character" w:customStyle="1" w:styleId="CommentSubjectChar">
    <w:name w:val="Comment Subject Char"/>
    <w:basedOn w:val="CommentTextChar"/>
    <w:link w:val="CommentSubject"/>
    <w:uiPriority w:val="99"/>
    <w:semiHidden/>
    <w:rsid w:val="00353F30"/>
    <w:rPr>
      <w:b/>
      <w:bCs/>
      <w:sz w:val="20"/>
      <w:szCs w:val="20"/>
    </w:rPr>
  </w:style>
  <w:style w:type="paragraph" w:styleId="BalloonText">
    <w:name w:val="Balloon Text"/>
    <w:basedOn w:val="Normal"/>
    <w:link w:val="BalloonTextChar"/>
    <w:uiPriority w:val="99"/>
    <w:semiHidden/>
    <w:unhideWhenUsed/>
    <w:rsid w:val="00353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F30"/>
    <w:rPr>
      <w:rFonts w:ascii="Segoe UI" w:hAnsi="Segoe UI" w:cs="Segoe UI"/>
      <w:sz w:val="18"/>
      <w:szCs w:val="18"/>
    </w:rPr>
  </w:style>
  <w:style w:type="paragraph" w:customStyle="1" w:styleId="TableParagraph">
    <w:name w:val="Table Paragraph"/>
    <w:basedOn w:val="Normal"/>
    <w:uiPriority w:val="1"/>
    <w:qFormat/>
    <w:rsid w:val="00C35FEF"/>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5D290C"/>
    <w:pPr>
      <w:ind w:left="720"/>
      <w:contextualSpacing/>
    </w:pPr>
  </w:style>
  <w:style w:type="paragraph" w:styleId="Header">
    <w:name w:val="header"/>
    <w:basedOn w:val="Normal"/>
    <w:link w:val="HeaderChar"/>
    <w:uiPriority w:val="99"/>
    <w:unhideWhenUsed/>
    <w:rsid w:val="00EA0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03B"/>
  </w:style>
  <w:style w:type="paragraph" w:styleId="Footer">
    <w:name w:val="footer"/>
    <w:basedOn w:val="Normal"/>
    <w:link w:val="FooterChar"/>
    <w:uiPriority w:val="99"/>
    <w:unhideWhenUsed/>
    <w:rsid w:val="00EA0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4196">
      <w:bodyDiv w:val="1"/>
      <w:marLeft w:val="0"/>
      <w:marRight w:val="0"/>
      <w:marTop w:val="0"/>
      <w:marBottom w:val="0"/>
      <w:divBdr>
        <w:top w:val="none" w:sz="0" w:space="0" w:color="auto"/>
        <w:left w:val="none" w:sz="0" w:space="0" w:color="auto"/>
        <w:bottom w:val="none" w:sz="0" w:space="0" w:color="auto"/>
        <w:right w:val="none" w:sz="0" w:space="0" w:color="auto"/>
      </w:divBdr>
    </w:div>
    <w:div w:id="465200549">
      <w:bodyDiv w:val="1"/>
      <w:marLeft w:val="0"/>
      <w:marRight w:val="0"/>
      <w:marTop w:val="0"/>
      <w:marBottom w:val="0"/>
      <w:divBdr>
        <w:top w:val="none" w:sz="0" w:space="0" w:color="auto"/>
        <w:left w:val="none" w:sz="0" w:space="0" w:color="auto"/>
        <w:bottom w:val="none" w:sz="0" w:space="0" w:color="auto"/>
        <w:right w:val="none" w:sz="0" w:space="0" w:color="auto"/>
      </w:divBdr>
    </w:div>
    <w:div w:id="721638620">
      <w:bodyDiv w:val="1"/>
      <w:marLeft w:val="0"/>
      <w:marRight w:val="0"/>
      <w:marTop w:val="0"/>
      <w:marBottom w:val="0"/>
      <w:divBdr>
        <w:top w:val="none" w:sz="0" w:space="0" w:color="auto"/>
        <w:left w:val="none" w:sz="0" w:space="0" w:color="auto"/>
        <w:bottom w:val="none" w:sz="0" w:space="0" w:color="auto"/>
        <w:right w:val="none" w:sz="0" w:space="0" w:color="auto"/>
      </w:divBdr>
    </w:div>
    <w:div w:id="11072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1697-0E7C-4356-AA30-64D8D192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Wills</dc:creator>
  <cp:keywords/>
  <dc:description/>
  <cp:lastModifiedBy>Gillian Booth</cp:lastModifiedBy>
  <cp:revision>3</cp:revision>
  <dcterms:created xsi:type="dcterms:W3CDTF">2019-09-20T13:21:00Z</dcterms:created>
  <dcterms:modified xsi:type="dcterms:W3CDTF">2019-09-20T13:21:00Z</dcterms:modified>
</cp:coreProperties>
</file>