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539A1962" wp14:editId="59CCA628">
            <wp:simplePos x="0" y="0"/>
            <wp:positionH relativeFrom="column">
              <wp:posOffset>3732530</wp:posOffset>
            </wp:positionH>
            <wp:positionV relativeFrom="paragraph">
              <wp:posOffset>-4445</wp:posOffset>
            </wp:positionV>
            <wp:extent cx="2229485" cy="704850"/>
            <wp:effectExtent l="0" t="0" r="0" b="0"/>
            <wp:wrapSquare wrapText="bothSides"/>
            <wp:docPr id="7" name="Picture 7" descr="QoWL_Logo 3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oWL_Logo 30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51C082B" wp14:editId="1F721A83">
            <wp:simplePos x="0" y="0"/>
            <wp:positionH relativeFrom="column">
              <wp:posOffset>4710430</wp:posOffset>
            </wp:positionH>
            <wp:positionV relativeFrom="paragraph">
              <wp:posOffset>9738995</wp:posOffset>
            </wp:positionV>
            <wp:extent cx="2629535" cy="712470"/>
            <wp:effectExtent l="0" t="0" r="0" b="0"/>
            <wp:wrapNone/>
            <wp:docPr id="2" name="Picture 2" descr="QoWL_Logo_Clone_white-t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oWL_Logo_Clone_white-tx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76FD29A" wp14:editId="17EF54EF">
            <wp:simplePos x="0" y="0"/>
            <wp:positionH relativeFrom="column">
              <wp:posOffset>4710430</wp:posOffset>
            </wp:positionH>
            <wp:positionV relativeFrom="paragraph">
              <wp:posOffset>9738995</wp:posOffset>
            </wp:positionV>
            <wp:extent cx="2629535" cy="712470"/>
            <wp:effectExtent l="0" t="0" r="0" b="0"/>
            <wp:wrapNone/>
            <wp:docPr id="1" name="Picture 1" descr="QoWL_Logo_Clone_white-t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oWL_Logo_Clone_white-tx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Executive Summary </w:t>
      </w:r>
    </w:p>
    <w:p w:rsidR="00BC2BAC" w:rsidRDefault="00BC2BAC" w:rsidP="00BC2BAC">
      <w:pPr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BC2BAC" w:rsidRDefault="00BC2BAC" w:rsidP="00BC2B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eastAsia="en-GB"/>
        </w:rPr>
      </w:pPr>
    </w:p>
    <w:p w:rsidR="00BC2BAC" w:rsidRDefault="00BC2BAC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Arial" w:hAnsi="Arial" w:cs="Arial"/>
              <w:b/>
              <w:spacing w:val="-3"/>
              <w:sz w:val="28"/>
              <w:szCs w:val="28"/>
            </w:rPr>
            <w:t>University</w:t>
          </w:r>
        </w:smartTag>
        <w:r>
          <w:rPr>
            <w:rFonts w:ascii="Arial" w:hAnsi="Arial" w:cs="Arial"/>
            <w:b/>
            <w:spacing w:val="-3"/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spacing w:val="-3"/>
              <w:sz w:val="28"/>
              <w:szCs w:val="28"/>
            </w:rPr>
            <w:t>Huddersfield</w:t>
          </w:r>
        </w:smartTag>
      </w:smartTag>
      <w:r>
        <w:rPr>
          <w:rFonts w:ascii="Arial" w:hAnsi="Arial" w:cs="Arial"/>
          <w:b/>
          <w:spacing w:val="-3"/>
          <w:sz w:val="28"/>
          <w:szCs w:val="28"/>
        </w:rPr>
        <w:t xml:space="preserve"> </w:t>
      </w:r>
    </w:p>
    <w:p w:rsidR="00BC2BAC" w:rsidRDefault="00BC2BAC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Quality of Working Life survey (May, 201</w:t>
      </w:r>
      <w:r w:rsidR="00C040AF">
        <w:rPr>
          <w:rFonts w:ascii="Arial" w:hAnsi="Arial" w:cs="Arial"/>
          <w:b/>
          <w:spacing w:val="-3"/>
          <w:sz w:val="28"/>
          <w:szCs w:val="28"/>
        </w:rPr>
        <w:t>7</w:t>
      </w:r>
      <w:r>
        <w:rPr>
          <w:rFonts w:ascii="Arial" w:hAnsi="Arial" w:cs="Arial"/>
          <w:b/>
          <w:spacing w:val="-3"/>
          <w:sz w:val="28"/>
          <w:szCs w:val="28"/>
        </w:rPr>
        <w:t>)</w:t>
      </w:r>
    </w:p>
    <w:p w:rsidR="00BC2BAC" w:rsidRDefault="00BC2BAC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</w:p>
    <w:p w:rsidR="00BC2BAC" w:rsidRDefault="00BC2BAC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</w:p>
    <w:p w:rsidR="00BC2BAC" w:rsidRDefault="00BC2BAC" w:rsidP="00BC2B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Quality of Working Life?</w:t>
      </w:r>
    </w:p>
    <w:p w:rsidR="00BC2BAC" w:rsidRDefault="00BC2BAC" w:rsidP="00BC2BAC">
      <w:pPr>
        <w:rPr>
          <w:rFonts w:ascii="Arial" w:hAnsi="Arial" w:cs="Arial"/>
          <w:sz w:val="22"/>
        </w:rPr>
      </w:pPr>
    </w:p>
    <w:p w:rsidR="00BC2BAC" w:rsidRPr="009C2840" w:rsidRDefault="00BC2BAC" w:rsidP="00944657">
      <w:pPr>
        <w:rPr>
          <w:rFonts w:ascii="Arial" w:hAnsi="Arial" w:cs="Arial"/>
          <w:szCs w:val="24"/>
        </w:rPr>
      </w:pPr>
      <w:r w:rsidRPr="009C2840">
        <w:rPr>
          <w:rFonts w:ascii="Arial" w:hAnsi="Arial" w:cs="Arial"/>
          <w:szCs w:val="24"/>
        </w:rPr>
        <w:t xml:space="preserve">Quality of Working Life (QoWL) is </w:t>
      </w:r>
      <w:r w:rsidRPr="009C2840">
        <w:rPr>
          <w:rFonts w:ascii="Arial" w:hAnsi="Arial" w:cs="Arial"/>
          <w:b/>
          <w:bCs/>
          <w:i/>
          <w:iCs/>
          <w:szCs w:val="24"/>
        </w:rPr>
        <w:t>a measure of how good your work is for you</w:t>
      </w:r>
      <w:r w:rsidRPr="009C2840">
        <w:rPr>
          <w:rFonts w:ascii="Arial" w:hAnsi="Arial" w:cs="Arial"/>
          <w:szCs w:val="24"/>
        </w:rPr>
        <w:t xml:space="preserve">. </w:t>
      </w:r>
    </w:p>
    <w:p w:rsidR="00BC2BAC" w:rsidRPr="009C2840" w:rsidRDefault="00BC2BAC" w:rsidP="00944657">
      <w:pPr>
        <w:rPr>
          <w:rFonts w:ascii="Arial" w:hAnsi="Arial" w:cs="Arial"/>
          <w:szCs w:val="24"/>
        </w:rPr>
      </w:pPr>
    </w:p>
    <w:p w:rsidR="00BC2BAC" w:rsidRDefault="00BC2BAC" w:rsidP="00944657">
      <w:pPr>
        <w:pStyle w:val="BodyText"/>
        <w:rPr>
          <w:rFonts w:ascii="Arial" w:hAnsi="Arial" w:cs="Arial"/>
          <w:sz w:val="24"/>
          <w:szCs w:val="24"/>
        </w:rPr>
      </w:pPr>
      <w:r w:rsidRPr="009C2840">
        <w:rPr>
          <w:rFonts w:ascii="Arial" w:hAnsi="Arial" w:cs="Arial"/>
          <w:sz w:val="24"/>
          <w:szCs w:val="24"/>
        </w:rPr>
        <w:t>Quality of Working Life is more than just job satisfaction or work happiness, but the widest context in which an employee would evaluate their job.</w:t>
      </w:r>
    </w:p>
    <w:p w:rsidR="00BC2BAC" w:rsidRDefault="00BC2BAC" w:rsidP="00944657">
      <w:pPr>
        <w:pStyle w:val="BodyText"/>
        <w:rPr>
          <w:rFonts w:ascii="Arial" w:hAnsi="Arial" w:cs="Arial"/>
          <w:sz w:val="24"/>
          <w:szCs w:val="24"/>
        </w:rPr>
      </w:pPr>
    </w:p>
    <w:p w:rsidR="00BC2BAC" w:rsidRPr="009C2840" w:rsidRDefault="00BC2BAC" w:rsidP="00944657">
      <w:pPr>
        <w:pStyle w:val="BodyText"/>
        <w:rPr>
          <w:rFonts w:ascii="Arial" w:hAnsi="Arial" w:cs="Arial"/>
          <w:szCs w:val="24"/>
        </w:rPr>
      </w:pPr>
    </w:p>
    <w:p w:rsidR="00BC2BAC" w:rsidRPr="009C2840" w:rsidRDefault="00BC2BAC" w:rsidP="00944657">
      <w:pPr>
        <w:rPr>
          <w:rFonts w:ascii="Arial" w:hAnsi="Arial" w:cs="Arial"/>
          <w:b/>
          <w:bCs/>
          <w:spacing w:val="-3"/>
          <w:szCs w:val="24"/>
        </w:rPr>
      </w:pPr>
      <w:r w:rsidRPr="009C2840">
        <w:rPr>
          <w:rFonts w:ascii="Arial" w:hAnsi="Arial" w:cs="Arial"/>
          <w:b/>
          <w:bCs/>
          <w:spacing w:val="-3"/>
          <w:szCs w:val="24"/>
        </w:rPr>
        <w:t xml:space="preserve">The </w:t>
      </w:r>
      <w:r w:rsidRPr="009C2840">
        <w:rPr>
          <w:rFonts w:ascii="Arial" w:hAnsi="Arial" w:cs="Arial"/>
          <w:b/>
          <w:bCs/>
          <w:szCs w:val="24"/>
        </w:rPr>
        <w:t>QoWL Survey and Data Set</w:t>
      </w:r>
    </w:p>
    <w:p w:rsidR="00BC2BAC" w:rsidRPr="009C2840" w:rsidRDefault="00BC2BAC" w:rsidP="00944657">
      <w:pPr>
        <w:rPr>
          <w:rFonts w:ascii="Arial" w:hAnsi="Arial" w:cs="Arial"/>
          <w:szCs w:val="24"/>
        </w:rPr>
      </w:pPr>
    </w:p>
    <w:p w:rsidR="00BC2BAC" w:rsidRPr="009C2840" w:rsidRDefault="00BC2BAC" w:rsidP="00944657">
      <w:pPr>
        <w:rPr>
          <w:rFonts w:ascii="Arial" w:hAnsi="Arial" w:cs="Arial"/>
          <w:szCs w:val="24"/>
        </w:rPr>
      </w:pPr>
      <w:r w:rsidRPr="009C2840">
        <w:rPr>
          <w:rFonts w:ascii="Arial" w:hAnsi="Arial" w:cs="Arial"/>
          <w:szCs w:val="24"/>
        </w:rPr>
        <w:t>The QoWL survey tool encompasses three questionnaires:</w:t>
      </w:r>
    </w:p>
    <w:p w:rsidR="00BC2BAC" w:rsidRPr="009C2840" w:rsidRDefault="00BC2BAC" w:rsidP="00944657">
      <w:pPr>
        <w:rPr>
          <w:rFonts w:ascii="Arial" w:hAnsi="Arial" w:cs="Arial"/>
          <w:szCs w:val="24"/>
        </w:rPr>
      </w:pPr>
    </w:p>
    <w:p w:rsidR="00BC2BAC" w:rsidRPr="00944657" w:rsidRDefault="00BC2BAC" w:rsidP="0094465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Cs w:val="24"/>
        </w:rPr>
      </w:pPr>
      <w:r w:rsidRPr="00944657">
        <w:rPr>
          <w:rFonts w:ascii="Arial" w:hAnsi="Arial" w:cs="Arial"/>
          <w:szCs w:val="24"/>
        </w:rPr>
        <w:t xml:space="preserve">The </w:t>
      </w:r>
      <w:r w:rsidRPr="00944657">
        <w:rPr>
          <w:rFonts w:ascii="Arial" w:hAnsi="Arial" w:cs="Arial"/>
          <w:b/>
          <w:bCs/>
          <w:szCs w:val="24"/>
        </w:rPr>
        <w:t>WRQoL scale</w:t>
      </w:r>
      <w:r w:rsidRPr="00944657">
        <w:rPr>
          <w:rFonts w:ascii="Arial" w:hAnsi="Arial" w:cs="Arial"/>
          <w:szCs w:val="24"/>
        </w:rPr>
        <w:t xml:space="preserve">, which looks at the six core factors associated with </w:t>
      </w:r>
      <w:r w:rsidRPr="00944657">
        <w:rPr>
          <w:rFonts w:ascii="Arial" w:hAnsi="Arial" w:cs="Arial"/>
          <w:bCs/>
          <w:spacing w:val="-3"/>
          <w:szCs w:val="24"/>
        </w:rPr>
        <w:t>Quality of Working Life, such as job satisfaction, work-life balance, and working conditions.</w:t>
      </w:r>
    </w:p>
    <w:p w:rsidR="00BC2BAC" w:rsidRPr="009C2840" w:rsidRDefault="00BC2BAC" w:rsidP="00944657">
      <w:pPr>
        <w:autoSpaceDE w:val="0"/>
        <w:autoSpaceDN w:val="0"/>
        <w:adjustRightInd w:val="0"/>
        <w:ind w:left="360"/>
        <w:rPr>
          <w:rFonts w:ascii="Arial" w:hAnsi="Arial" w:cs="Arial"/>
          <w:bCs/>
          <w:spacing w:val="-3"/>
          <w:szCs w:val="24"/>
        </w:rPr>
      </w:pPr>
    </w:p>
    <w:p w:rsidR="00BC2BAC" w:rsidRPr="00944657" w:rsidRDefault="00BC2BAC" w:rsidP="0094465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bCs/>
          <w:spacing w:val="-3"/>
          <w:szCs w:val="24"/>
        </w:rPr>
      </w:pPr>
      <w:r w:rsidRPr="00944657">
        <w:rPr>
          <w:rFonts w:ascii="Arial" w:hAnsi="Arial" w:cs="Arial"/>
          <w:bCs/>
          <w:spacing w:val="-3"/>
          <w:szCs w:val="24"/>
        </w:rPr>
        <w:t xml:space="preserve">The </w:t>
      </w:r>
      <w:r w:rsidRPr="00944657">
        <w:rPr>
          <w:rFonts w:ascii="Arial" w:hAnsi="Arial" w:cs="Arial"/>
          <w:b/>
          <w:spacing w:val="-3"/>
          <w:szCs w:val="24"/>
        </w:rPr>
        <w:t>QoWL Workplace Outcome</w:t>
      </w:r>
      <w:r w:rsidRPr="00944657">
        <w:rPr>
          <w:rFonts w:ascii="Arial" w:hAnsi="Arial" w:cs="Arial"/>
          <w:bCs/>
          <w:spacing w:val="-3"/>
          <w:szCs w:val="24"/>
        </w:rPr>
        <w:t xml:space="preserve"> scale, which provides data related to a variety of specific outcomes related to Quality of Working Life such as intention to stay, organisational communication, and pride in the organisation.</w:t>
      </w:r>
    </w:p>
    <w:p w:rsidR="00BC2BAC" w:rsidRPr="009C2840" w:rsidRDefault="00BC2BAC" w:rsidP="00944657">
      <w:pPr>
        <w:autoSpaceDE w:val="0"/>
        <w:autoSpaceDN w:val="0"/>
        <w:adjustRightInd w:val="0"/>
        <w:ind w:left="360"/>
        <w:rPr>
          <w:rFonts w:ascii="Arial" w:hAnsi="Arial" w:cs="Arial"/>
          <w:bCs/>
          <w:spacing w:val="-3"/>
          <w:szCs w:val="24"/>
        </w:rPr>
      </w:pPr>
    </w:p>
    <w:p w:rsidR="00BC2BAC" w:rsidRPr="00944657" w:rsidRDefault="00BC2BAC" w:rsidP="0094465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bCs/>
          <w:spacing w:val="-3"/>
          <w:szCs w:val="24"/>
        </w:rPr>
      </w:pPr>
      <w:r w:rsidRPr="00944657">
        <w:rPr>
          <w:rFonts w:ascii="Arial" w:hAnsi="Arial" w:cs="Arial"/>
          <w:bCs/>
          <w:spacing w:val="-3"/>
          <w:szCs w:val="24"/>
        </w:rPr>
        <w:t xml:space="preserve">The </w:t>
      </w:r>
      <w:r w:rsidRPr="00944657">
        <w:rPr>
          <w:rFonts w:ascii="Arial" w:hAnsi="Arial" w:cs="Arial"/>
          <w:b/>
          <w:spacing w:val="-3"/>
          <w:szCs w:val="24"/>
        </w:rPr>
        <w:t>HSE Work-related stress scale</w:t>
      </w:r>
      <w:r w:rsidRPr="00944657">
        <w:rPr>
          <w:rFonts w:ascii="Arial" w:hAnsi="Arial" w:cs="Arial"/>
          <w:bCs/>
          <w:spacing w:val="-3"/>
          <w:szCs w:val="24"/>
        </w:rPr>
        <w:t>, which provides feedback on the stressor categories included in HSE’s Management Standards, such as demands, management support, and relationships.</w:t>
      </w:r>
    </w:p>
    <w:p w:rsidR="00BC2BAC" w:rsidRPr="009C2840" w:rsidRDefault="00BC2BAC" w:rsidP="00944657">
      <w:pPr>
        <w:autoSpaceDE w:val="0"/>
        <w:autoSpaceDN w:val="0"/>
        <w:adjustRightInd w:val="0"/>
        <w:rPr>
          <w:rFonts w:ascii="Arial" w:hAnsi="Arial" w:cs="Arial"/>
          <w:bCs/>
          <w:spacing w:val="-3"/>
          <w:szCs w:val="24"/>
        </w:rPr>
      </w:pPr>
    </w:p>
    <w:p w:rsidR="00BC2BAC" w:rsidRPr="00C6134E" w:rsidRDefault="00BC2BAC" w:rsidP="00944657">
      <w:pPr>
        <w:autoSpaceDE w:val="0"/>
        <w:autoSpaceDN w:val="0"/>
        <w:adjustRightInd w:val="0"/>
        <w:rPr>
          <w:rFonts w:ascii="Arial" w:eastAsia="Arial Unicode MS" w:hAnsi="Arial" w:cs="Arial"/>
          <w:szCs w:val="24"/>
        </w:rPr>
      </w:pPr>
      <w:r w:rsidRPr="00C6134E">
        <w:rPr>
          <w:rFonts w:ascii="Arial" w:eastAsia="Arial Unicode MS" w:hAnsi="Arial" w:cs="Arial"/>
          <w:b/>
          <w:szCs w:val="24"/>
        </w:rPr>
        <w:t xml:space="preserve">The </w:t>
      </w:r>
      <w:r w:rsidR="008F01E5">
        <w:rPr>
          <w:rFonts w:ascii="Arial" w:eastAsia="Arial Unicode MS" w:hAnsi="Arial" w:cs="Arial"/>
          <w:b/>
          <w:szCs w:val="24"/>
        </w:rPr>
        <w:t xml:space="preserve">survey was distributed on line and by paper to University of Huddersfield employees in March and April 2017. </w:t>
      </w:r>
      <w:r w:rsidR="00944657" w:rsidRPr="00C6134E">
        <w:rPr>
          <w:rFonts w:ascii="Arial" w:eastAsia="Arial Unicode MS" w:hAnsi="Arial" w:cs="Arial"/>
          <w:szCs w:val="24"/>
        </w:rPr>
        <w:t>13</w:t>
      </w:r>
      <w:r w:rsidR="00C040AF">
        <w:rPr>
          <w:rFonts w:ascii="Arial" w:eastAsia="Arial Unicode MS" w:hAnsi="Arial" w:cs="Arial"/>
          <w:szCs w:val="24"/>
        </w:rPr>
        <w:t>30</w:t>
      </w:r>
      <w:r w:rsidRPr="00C6134E">
        <w:rPr>
          <w:rFonts w:ascii="Arial" w:eastAsia="Arial Unicode MS" w:hAnsi="Arial" w:cs="Arial"/>
          <w:szCs w:val="24"/>
        </w:rPr>
        <w:t xml:space="preserve"> staff responded (</w:t>
      </w:r>
      <w:r w:rsidR="00C040AF">
        <w:rPr>
          <w:rFonts w:ascii="Arial" w:eastAsia="Arial Unicode MS" w:hAnsi="Arial" w:cs="Arial"/>
          <w:szCs w:val="24"/>
        </w:rPr>
        <w:t>32 on paper) out of 2038</w:t>
      </w:r>
      <w:r w:rsidR="00944657" w:rsidRPr="00C6134E">
        <w:rPr>
          <w:rFonts w:ascii="Arial" w:eastAsia="Arial Unicode MS" w:hAnsi="Arial" w:cs="Arial"/>
          <w:szCs w:val="24"/>
        </w:rPr>
        <w:t xml:space="preserve"> employees</w:t>
      </w:r>
      <w:r w:rsidR="008F01E5">
        <w:rPr>
          <w:rFonts w:ascii="Arial" w:eastAsia="Arial Unicode MS" w:hAnsi="Arial" w:cs="Arial"/>
          <w:szCs w:val="24"/>
        </w:rPr>
        <w:t xml:space="preserve"> giving an overall response rate of 65%</w:t>
      </w:r>
      <w:r w:rsidRPr="00C6134E">
        <w:rPr>
          <w:rFonts w:ascii="Arial" w:eastAsia="Arial Unicode MS" w:hAnsi="Arial" w:cs="Arial"/>
          <w:szCs w:val="24"/>
        </w:rPr>
        <w:t>. Some responses were discarded due to less than half the questions being answered, giving a valid r</w:t>
      </w:r>
      <w:r w:rsidR="00C040AF">
        <w:rPr>
          <w:rFonts w:ascii="Arial" w:eastAsia="Arial Unicode MS" w:hAnsi="Arial" w:cs="Arial"/>
          <w:szCs w:val="24"/>
        </w:rPr>
        <w:t>esponse rate of approximately 59</w:t>
      </w:r>
      <w:r w:rsidRPr="00C6134E">
        <w:rPr>
          <w:rFonts w:ascii="Arial" w:eastAsia="Arial Unicode MS" w:hAnsi="Arial" w:cs="Arial"/>
          <w:szCs w:val="24"/>
        </w:rPr>
        <w:t>%.</w:t>
      </w:r>
    </w:p>
    <w:p w:rsidR="00944657" w:rsidRPr="00C6134E" w:rsidRDefault="00944657" w:rsidP="00944657">
      <w:pPr>
        <w:autoSpaceDE w:val="0"/>
        <w:autoSpaceDN w:val="0"/>
        <w:adjustRightInd w:val="0"/>
        <w:rPr>
          <w:rFonts w:ascii="Arial" w:eastAsia="Arial Unicode MS" w:hAnsi="Arial" w:cs="Arial"/>
          <w:szCs w:val="24"/>
        </w:rPr>
      </w:pPr>
    </w:p>
    <w:p w:rsidR="00944657" w:rsidRPr="00C6134E" w:rsidRDefault="00944657" w:rsidP="00944657">
      <w:pPr>
        <w:autoSpaceDE w:val="0"/>
        <w:autoSpaceDN w:val="0"/>
        <w:adjustRightInd w:val="0"/>
        <w:rPr>
          <w:rFonts w:ascii="Arial" w:hAnsi="Arial" w:cs="Arial"/>
          <w:bCs/>
          <w:spacing w:val="-3"/>
          <w:szCs w:val="24"/>
        </w:rPr>
      </w:pPr>
      <w:r w:rsidRPr="00C6134E">
        <w:rPr>
          <w:rFonts w:ascii="Arial" w:hAnsi="Arial" w:cs="Arial"/>
          <w:bCs/>
          <w:spacing w:val="-3"/>
          <w:szCs w:val="24"/>
        </w:rPr>
        <w:t>In addition, in response to an</w:t>
      </w:r>
      <w:r w:rsidR="00C040AF">
        <w:rPr>
          <w:rFonts w:ascii="Arial" w:hAnsi="Arial" w:cs="Arial"/>
          <w:bCs/>
          <w:spacing w:val="-3"/>
          <w:szCs w:val="24"/>
        </w:rPr>
        <w:t xml:space="preserve"> open question, approximately 55</w:t>
      </w:r>
      <w:r w:rsidRPr="00C6134E">
        <w:rPr>
          <w:rFonts w:ascii="Arial" w:hAnsi="Arial" w:cs="Arial"/>
          <w:bCs/>
          <w:spacing w:val="-3"/>
          <w:szCs w:val="24"/>
        </w:rPr>
        <w:t>% of respondents took the opportunity to suggest ways the</w:t>
      </w:r>
      <w:r w:rsidRPr="00C6134E">
        <w:rPr>
          <w:rFonts w:ascii="Arial" w:hAnsi="Arial" w:cs="Arial"/>
          <w:bCs/>
          <w:szCs w:val="24"/>
        </w:rPr>
        <w:t xml:space="preserve"> University could improve Quality of Working Life for staff.</w:t>
      </w:r>
      <w:r w:rsidRPr="00C6134E">
        <w:rPr>
          <w:rFonts w:ascii="Arial" w:hAnsi="Arial" w:cs="Arial"/>
          <w:bCs/>
          <w:spacing w:val="-3"/>
          <w:szCs w:val="24"/>
        </w:rPr>
        <w:t xml:space="preserve">  </w:t>
      </w:r>
    </w:p>
    <w:p w:rsidR="00BC2BAC" w:rsidRPr="009C2840" w:rsidRDefault="00BC2BAC" w:rsidP="00944657">
      <w:pPr>
        <w:rPr>
          <w:rFonts w:ascii="Arial" w:eastAsia="Arial Unicode MS" w:hAnsi="Arial" w:cs="Arial"/>
          <w:szCs w:val="24"/>
        </w:rPr>
      </w:pPr>
    </w:p>
    <w:p w:rsidR="00944657" w:rsidRDefault="00BC2BAC" w:rsidP="008F01E5">
      <w:pPr>
        <w:rPr>
          <w:rFonts w:ascii="Arial" w:hAnsi="Arial" w:cs="Arial"/>
          <w:b/>
          <w:bCs/>
          <w:szCs w:val="24"/>
        </w:rPr>
      </w:pPr>
      <w:r w:rsidRPr="009C2840">
        <w:rPr>
          <w:rFonts w:ascii="Arial" w:eastAsia="Arial Unicode MS" w:hAnsi="Arial" w:cs="Arial"/>
          <w:szCs w:val="24"/>
        </w:rPr>
        <w:t xml:space="preserve">This </w:t>
      </w:r>
      <w:r w:rsidR="00C040AF">
        <w:rPr>
          <w:rFonts w:ascii="Arial" w:eastAsia="Arial Unicode MS" w:hAnsi="Arial" w:cs="Arial"/>
          <w:szCs w:val="24"/>
        </w:rPr>
        <w:t xml:space="preserve">executive summary </w:t>
      </w:r>
      <w:r w:rsidRPr="009C2840">
        <w:rPr>
          <w:rFonts w:ascii="Arial" w:eastAsia="Arial Unicode MS" w:hAnsi="Arial" w:cs="Arial"/>
          <w:szCs w:val="24"/>
        </w:rPr>
        <w:t>provides an in</w:t>
      </w:r>
      <w:r>
        <w:rPr>
          <w:rFonts w:ascii="Arial" w:eastAsia="Arial Unicode MS" w:hAnsi="Arial" w:cs="Arial"/>
          <w:szCs w:val="24"/>
        </w:rPr>
        <w:t>dicative</w:t>
      </w:r>
      <w:r w:rsidRPr="009C2840">
        <w:rPr>
          <w:rFonts w:ascii="Arial" w:eastAsia="Arial Unicode MS" w:hAnsi="Arial" w:cs="Arial"/>
          <w:szCs w:val="24"/>
        </w:rPr>
        <w:t xml:space="preserve"> </w:t>
      </w:r>
      <w:r w:rsidR="00C040AF">
        <w:rPr>
          <w:rFonts w:ascii="Arial" w:eastAsia="Arial Unicode MS" w:hAnsi="Arial" w:cs="Arial"/>
          <w:szCs w:val="24"/>
        </w:rPr>
        <w:t>synopsis</w:t>
      </w:r>
      <w:r w:rsidRPr="009C2840">
        <w:rPr>
          <w:rFonts w:ascii="Arial" w:eastAsia="Arial Unicode MS" w:hAnsi="Arial" w:cs="Arial"/>
          <w:szCs w:val="24"/>
        </w:rPr>
        <w:t xml:space="preserve"> and broad overview of the results found.</w:t>
      </w:r>
      <w:r w:rsidR="00944657">
        <w:rPr>
          <w:szCs w:val="24"/>
        </w:rPr>
        <w:br w:type="page"/>
      </w:r>
    </w:p>
    <w:p w:rsidR="008F01E5" w:rsidRPr="008F01E5" w:rsidRDefault="008F01E5" w:rsidP="008F01E5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4"/>
        </w:rPr>
      </w:pPr>
      <w:r>
        <w:rPr>
          <w:rFonts w:ascii="Arial" w:hAnsi="Arial" w:cs="Arial"/>
          <w:b/>
          <w:spacing w:val="-3"/>
          <w:sz w:val="28"/>
          <w:szCs w:val="24"/>
        </w:rPr>
        <w:lastRenderedPageBreak/>
        <w:t>Quality of Working Life</w:t>
      </w:r>
      <w:r w:rsidRPr="008F01E5">
        <w:rPr>
          <w:rFonts w:ascii="Arial" w:hAnsi="Arial" w:cs="Arial"/>
          <w:b/>
          <w:spacing w:val="-3"/>
          <w:sz w:val="28"/>
          <w:szCs w:val="24"/>
        </w:rPr>
        <w:t xml:space="preserve"> summary</w:t>
      </w:r>
    </w:p>
    <w:p w:rsidR="008F01E5" w:rsidRDefault="008F01E5" w:rsidP="008F01E5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2"/>
          <w:szCs w:val="22"/>
        </w:rPr>
      </w:pPr>
    </w:p>
    <w:p w:rsidR="008F01E5" w:rsidRDefault="008F01E5" w:rsidP="008F01E5">
      <w:pPr>
        <w:autoSpaceDE w:val="0"/>
        <w:autoSpaceDN w:val="0"/>
        <w:adjustRightInd w:val="0"/>
        <w:rPr>
          <w:rFonts w:ascii="Arial" w:hAnsi="Arial" w:cs="Arial"/>
          <w:spacing w:val="-3"/>
          <w:szCs w:val="24"/>
        </w:rPr>
      </w:pPr>
      <w:r w:rsidRPr="00315A56">
        <w:rPr>
          <w:rFonts w:ascii="Arial" w:hAnsi="Arial" w:cs="Arial"/>
          <w:bCs/>
          <w:szCs w:val="24"/>
        </w:rPr>
        <w:t xml:space="preserve">The table below compares </w:t>
      </w:r>
      <w:r w:rsidR="00C65E57">
        <w:rPr>
          <w:rFonts w:ascii="Arial" w:hAnsi="Arial" w:cs="Arial"/>
          <w:bCs/>
          <w:szCs w:val="24"/>
        </w:rPr>
        <w:t xml:space="preserve">the Work-Related Quality of Life (WRQoL) </w:t>
      </w:r>
      <w:r w:rsidRPr="00315A56">
        <w:rPr>
          <w:rFonts w:ascii="Arial" w:hAnsi="Arial" w:cs="Arial"/>
          <w:bCs/>
          <w:szCs w:val="24"/>
        </w:rPr>
        <w:t xml:space="preserve">summary scores for the current, </w:t>
      </w:r>
      <w:r>
        <w:rPr>
          <w:rFonts w:ascii="Arial" w:hAnsi="Arial" w:cs="Arial"/>
          <w:bCs/>
          <w:szCs w:val="24"/>
        </w:rPr>
        <w:t xml:space="preserve">2017 survey (N = 1209) with the surveys from </w:t>
      </w:r>
      <w:r w:rsidRPr="00315A56">
        <w:rPr>
          <w:rFonts w:ascii="Arial" w:hAnsi="Arial" w:cs="Arial"/>
          <w:bCs/>
          <w:szCs w:val="24"/>
        </w:rPr>
        <w:t xml:space="preserve">2015 (N = 1210), 2013 (N = 833), 2011 (N = 890) </w:t>
      </w:r>
      <w:r>
        <w:rPr>
          <w:rFonts w:ascii="Arial" w:hAnsi="Arial" w:cs="Arial"/>
          <w:bCs/>
          <w:szCs w:val="24"/>
        </w:rPr>
        <w:t>and 2009 (</w:t>
      </w:r>
      <w:r w:rsidRPr="00315A56">
        <w:rPr>
          <w:rFonts w:ascii="Arial" w:hAnsi="Arial" w:cs="Arial"/>
          <w:bCs/>
          <w:szCs w:val="24"/>
        </w:rPr>
        <w:t>N=</w:t>
      </w:r>
      <w:r>
        <w:rPr>
          <w:rFonts w:ascii="Arial" w:hAnsi="Arial" w:cs="Arial"/>
          <w:bCs/>
          <w:szCs w:val="24"/>
        </w:rPr>
        <w:t>972</w:t>
      </w:r>
      <w:r w:rsidRPr="00315A56">
        <w:rPr>
          <w:rFonts w:ascii="Arial" w:hAnsi="Arial" w:cs="Arial"/>
          <w:bCs/>
          <w:szCs w:val="24"/>
        </w:rPr>
        <w:t>) and the QoWL</w:t>
      </w:r>
      <w:r w:rsidRPr="00B073B6">
        <w:rPr>
          <w:rFonts w:ascii="Arial" w:hAnsi="Arial" w:cs="Arial"/>
          <w:bCs/>
          <w:szCs w:val="24"/>
        </w:rPr>
        <w:t xml:space="preserve"> University Benchmark sample which is derived from a sample of 5963 employees from across the UK University sector</w:t>
      </w:r>
      <w:r w:rsidRPr="00B073B6">
        <w:rPr>
          <w:rFonts w:ascii="Arial" w:hAnsi="Arial" w:cs="Arial"/>
          <w:spacing w:val="-3"/>
          <w:szCs w:val="24"/>
        </w:rPr>
        <w:t>.</w:t>
      </w:r>
    </w:p>
    <w:p w:rsidR="008F01E5" w:rsidRPr="00B073B6" w:rsidRDefault="008F01E5" w:rsidP="008F01E5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973"/>
        <w:gridCol w:w="973"/>
        <w:gridCol w:w="973"/>
        <w:gridCol w:w="973"/>
        <w:gridCol w:w="973"/>
        <w:gridCol w:w="911"/>
      </w:tblGrid>
      <w:tr w:rsidR="008F01E5" w:rsidRPr="00AB1CB9" w:rsidTr="00224582">
        <w:trPr>
          <w:trHeight w:val="776"/>
        </w:trPr>
        <w:tc>
          <w:tcPr>
            <w:tcW w:w="4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Descriptive Statistics for WRQoL</w:t>
            </w: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Subscales and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O</w:t>
            </w: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>verall question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2009</w:t>
            </w:r>
          </w:p>
          <w:p w:rsidR="008F01E5" w:rsidRPr="00B073B6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Survey</w:t>
            </w:r>
          </w:p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%Agree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2011</w:t>
            </w:r>
          </w:p>
          <w:p w:rsidR="008F01E5" w:rsidRPr="00B073B6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Survey</w:t>
            </w:r>
          </w:p>
          <w:p w:rsidR="008F01E5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%Agree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  <w:p w:rsidR="008F01E5" w:rsidRPr="00B073B6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Survey</w:t>
            </w:r>
          </w:p>
          <w:p w:rsidR="008F01E5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%Agree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  <w:p w:rsidR="008F01E5" w:rsidRPr="00B073B6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Survey</w:t>
            </w:r>
          </w:p>
          <w:p w:rsidR="008F01E5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%Agree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  <w:p w:rsidR="008F01E5" w:rsidRPr="00B073B6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Survey</w:t>
            </w:r>
          </w:p>
          <w:p w:rsidR="008F01E5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%Agree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</w:tcPr>
          <w:p w:rsidR="008F01E5" w:rsidRPr="00B073B6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040AF">
              <w:rPr>
                <w:rFonts w:ascii="Arial" w:hAnsi="Arial" w:cs="Arial"/>
                <w:b/>
                <w:bCs/>
                <w:color w:val="000000"/>
                <w:sz w:val="22"/>
              </w:rPr>
              <w:t>QoWL</w:t>
            </w:r>
            <w:r w:rsidRPr="005516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BMARK</w:t>
            </w:r>
          </w:p>
          <w:p w:rsidR="008F01E5" w:rsidRPr="005516BE" w:rsidRDefault="008F01E5" w:rsidP="00224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3B6">
              <w:rPr>
                <w:rFonts w:ascii="Arial" w:hAnsi="Arial" w:cs="Arial"/>
                <w:b/>
                <w:bCs/>
                <w:color w:val="000000"/>
                <w:sz w:val="18"/>
              </w:rPr>
              <w:t>%Agree</w:t>
            </w:r>
          </w:p>
        </w:tc>
      </w:tr>
      <w:tr w:rsidR="008F01E5" w:rsidRPr="00AB1CB9" w:rsidTr="00224582">
        <w:tc>
          <w:tcPr>
            <w:tcW w:w="43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General Well Being (GWB) </w:t>
            </w:r>
          </w:p>
          <w:p w:rsidR="008F01E5" w:rsidRPr="00AB1CB9" w:rsidRDefault="008F01E5" w:rsidP="00224582">
            <w:pPr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How much you agree you feel generally content with life as a whole.</w:t>
            </w:r>
          </w:p>
        </w:tc>
        <w:tc>
          <w:tcPr>
            <w:tcW w:w="9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61</w:t>
            </w:r>
          </w:p>
        </w:tc>
        <w:tc>
          <w:tcPr>
            <w:tcW w:w="9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DAC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9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9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20BEF"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BEF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9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 w:rsidRPr="00694790">
              <w:rPr>
                <w:rFonts w:ascii="Arial" w:hAnsi="Arial" w:cs="Arial"/>
                <w:szCs w:val="24"/>
              </w:rPr>
              <w:t>55</w:t>
            </w:r>
          </w:p>
        </w:tc>
      </w:tr>
      <w:tr w:rsidR="008F01E5" w:rsidRPr="00AB1CB9" w:rsidTr="00224582">
        <w:tc>
          <w:tcPr>
            <w:tcW w:w="4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>Home-Work Interface (HWI)</w:t>
            </w:r>
          </w:p>
          <w:p w:rsidR="008F01E5" w:rsidRPr="00AB1CB9" w:rsidRDefault="008F01E5" w:rsidP="00224582">
            <w:pPr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How far you agree the organisation understands and tries to help you with pressures outside of work.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63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DAC"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C040A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040AF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BEF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 w:rsidRPr="00694790">
              <w:rPr>
                <w:rFonts w:ascii="Arial" w:hAnsi="Arial" w:cs="Arial"/>
                <w:szCs w:val="24"/>
              </w:rPr>
              <w:t>58</w:t>
            </w:r>
          </w:p>
        </w:tc>
      </w:tr>
      <w:tr w:rsidR="008F01E5" w:rsidRPr="00AB1CB9" w:rsidTr="00224582">
        <w:tc>
          <w:tcPr>
            <w:tcW w:w="4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>Job Career Satisfaction (JCS)</w:t>
            </w:r>
          </w:p>
          <w:p w:rsidR="008F01E5" w:rsidRPr="00AB1CB9" w:rsidRDefault="008F01E5" w:rsidP="00224582">
            <w:pPr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How far you agree that you are happy with your ability to do your work.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64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DAC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C040A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040AF"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BEF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 w:rsidRPr="00694790">
              <w:rPr>
                <w:rFonts w:ascii="Arial" w:hAnsi="Arial" w:cs="Arial"/>
                <w:szCs w:val="24"/>
              </w:rPr>
              <w:t>56</w:t>
            </w:r>
          </w:p>
        </w:tc>
      </w:tr>
      <w:tr w:rsidR="008F01E5" w:rsidRPr="00AB1CB9" w:rsidTr="00224582">
        <w:tc>
          <w:tcPr>
            <w:tcW w:w="4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Control at Work (CAW) </w:t>
            </w:r>
          </w:p>
          <w:p w:rsidR="008F01E5" w:rsidRPr="00AB1CB9" w:rsidRDefault="008F01E5" w:rsidP="00224582">
            <w:pPr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How far you agree you fee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l you are involved in decisions </w:t>
            </w: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at work.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57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E7EF3">
              <w:rPr>
                <w:rFonts w:ascii="Arial" w:hAnsi="Arial" w:cs="Arial"/>
                <w:bCs/>
                <w:szCs w:val="24"/>
              </w:rPr>
              <w:t>57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C040A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040AF"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20BEF">
              <w:rPr>
                <w:rFonts w:ascii="Arial" w:hAnsi="Arial" w:cs="Arial"/>
                <w:b/>
                <w:bCs/>
                <w:color w:val="FF0000"/>
              </w:rPr>
              <w:t>49</w:t>
            </w: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 w:rsidRPr="00694790">
              <w:rPr>
                <w:rFonts w:ascii="Arial" w:hAnsi="Arial" w:cs="Arial"/>
                <w:szCs w:val="24"/>
              </w:rPr>
              <w:t>54</w:t>
            </w:r>
          </w:p>
        </w:tc>
      </w:tr>
      <w:tr w:rsidR="008F01E5" w:rsidRPr="00AB1CB9" w:rsidTr="00224582">
        <w:tc>
          <w:tcPr>
            <w:tcW w:w="4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>Working Conditions (WCS)</w:t>
            </w:r>
          </w:p>
          <w:p w:rsidR="008F01E5" w:rsidRPr="00AB1CB9" w:rsidRDefault="008F01E5" w:rsidP="00224582">
            <w:pPr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 xml:space="preserve">The extent you agree that you are happy with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the </w:t>
            </w: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conditions you work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in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72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DAC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C040A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040AF"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BEF"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 w:rsidRPr="00694790">
              <w:rPr>
                <w:rFonts w:ascii="Arial" w:hAnsi="Arial" w:cs="Arial"/>
                <w:szCs w:val="24"/>
              </w:rPr>
              <w:t>66</w:t>
            </w:r>
          </w:p>
        </w:tc>
      </w:tr>
      <w:tr w:rsidR="008F01E5" w:rsidRPr="00AB1CB9" w:rsidTr="00224582">
        <w:tc>
          <w:tcPr>
            <w:tcW w:w="4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>Stress at Work (SAW)</w:t>
            </w:r>
            <w:r w:rsidRPr="00A6766C">
              <w:rPr>
                <w:rFonts w:ascii="Arial" w:hAnsi="Arial" w:cs="Arial"/>
                <w:b/>
                <w:bCs/>
                <w:sz w:val="28"/>
                <w:szCs w:val="24"/>
                <w:vertAlign w:val="superscript"/>
              </w:rPr>
              <w:t>*</w:t>
            </w:r>
          </w:p>
          <w:p w:rsidR="008F01E5" w:rsidRPr="00AB1CB9" w:rsidRDefault="008F01E5" w:rsidP="00224582">
            <w:pPr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 xml:space="preserve">How far you feel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you </w:t>
            </w: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agree you experience stress at work.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41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DAC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C040A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040AF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BEF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 w:rsidRPr="00694790">
              <w:rPr>
                <w:rFonts w:ascii="Arial" w:hAnsi="Arial" w:cs="Arial"/>
                <w:szCs w:val="24"/>
              </w:rPr>
              <w:t>45</w:t>
            </w:r>
          </w:p>
        </w:tc>
      </w:tr>
      <w:tr w:rsidR="008F01E5" w:rsidRPr="00AB1CB9" w:rsidTr="00224582">
        <w:trPr>
          <w:trHeight w:val="313"/>
        </w:trPr>
        <w:tc>
          <w:tcPr>
            <w:tcW w:w="43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F01E5" w:rsidRPr="00AB1CB9" w:rsidRDefault="008F01E5" w:rsidP="002245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</w:rPr>
            </w:pPr>
            <w:r w:rsidRPr="00AB1CB9">
              <w:rPr>
                <w:rFonts w:ascii="Arial" w:hAnsi="Arial" w:cs="Arial"/>
                <w:b/>
                <w:bCs/>
                <w:color w:val="000000"/>
                <w:szCs w:val="24"/>
              </w:rPr>
              <w:t>Over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all Quality of Working Life (Q65) </w:t>
            </w:r>
            <w:r w:rsidRPr="00AB1CB9">
              <w:rPr>
                <w:rFonts w:ascii="Arial" w:hAnsi="Arial" w:cs="Arial"/>
                <w:bCs/>
                <w:color w:val="000000"/>
                <w:szCs w:val="24"/>
              </w:rPr>
              <w:t>I am satisfied with the overall quality of my working life.</w:t>
            </w:r>
          </w:p>
        </w:tc>
        <w:tc>
          <w:tcPr>
            <w:tcW w:w="9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694790">
              <w:rPr>
                <w:rFonts w:ascii="Arial" w:hAnsi="Arial" w:cs="Arial"/>
                <w:bCs/>
                <w:szCs w:val="24"/>
              </w:rPr>
              <w:t>69</w:t>
            </w:r>
          </w:p>
        </w:tc>
        <w:tc>
          <w:tcPr>
            <w:tcW w:w="9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01E5" w:rsidRPr="00F64DAC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DAC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9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01E5" w:rsidRPr="00B073B6" w:rsidRDefault="008F01E5" w:rsidP="00224582">
            <w:pPr>
              <w:jc w:val="center"/>
              <w:rPr>
                <w:rFonts w:ascii="Arial" w:hAnsi="Arial" w:cs="Arial"/>
                <w:bCs/>
              </w:rPr>
            </w:pPr>
            <w:r w:rsidRPr="00B073B6"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9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01E5" w:rsidRPr="00C040AF" w:rsidRDefault="008F01E5" w:rsidP="00224582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040AF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01E5" w:rsidRPr="00120BEF" w:rsidRDefault="008F01E5" w:rsidP="002245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BEF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01E5" w:rsidRPr="00694790" w:rsidRDefault="008F01E5" w:rsidP="0022458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</w:tr>
    </w:tbl>
    <w:p w:rsidR="008F01E5" w:rsidRPr="00B073B6" w:rsidRDefault="008F01E5" w:rsidP="008F01E5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685DA0">
        <w:rPr>
          <w:rFonts w:ascii="Arial" w:hAnsi="Arial" w:cs="Arial"/>
          <w:bCs/>
          <w:sz w:val="18"/>
          <w:szCs w:val="18"/>
        </w:rPr>
        <w:t>Notes: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Pr="00C040AF">
        <w:rPr>
          <w:rFonts w:ascii="Arial" w:hAnsi="Arial" w:cs="Arial"/>
          <w:bCs/>
          <w:color w:val="000000"/>
          <w:sz w:val="20"/>
        </w:rPr>
        <w:t xml:space="preserve">%Agree: The percentage of respondents who agreed or strongly agreed to this factor. </w:t>
      </w:r>
      <w:r w:rsidRPr="00C040AF">
        <w:rPr>
          <w:rFonts w:ascii="Arial" w:hAnsi="Arial" w:cs="Arial"/>
          <w:color w:val="339966"/>
          <w:sz w:val="20"/>
          <w:szCs w:val="18"/>
        </w:rPr>
        <w:t>Green</w:t>
      </w:r>
      <w:r w:rsidRPr="00C040AF">
        <w:rPr>
          <w:rFonts w:ascii="Arial" w:hAnsi="Arial" w:cs="Arial"/>
          <w:sz w:val="20"/>
          <w:szCs w:val="18"/>
        </w:rPr>
        <w:t xml:space="preserve"> at least 5% higher satisfaction than the QoWL Benchmark value. </w:t>
      </w:r>
      <w:r w:rsidRPr="00C040AF">
        <w:rPr>
          <w:rFonts w:ascii="Arial" w:hAnsi="Arial" w:cs="Arial"/>
          <w:color w:val="FF0000"/>
          <w:sz w:val="20"/>
          <w:szCs w:val="18"/>
        </w:rPr>
        <w:t>Red</w:t>
      </w:r>
      <w:r w:rsidRPr="00C040AF">
        <w:rPr>
          <w:rFonts w:ascii="Arial" w:hAnsi="Arial" w:cs="Arial"/>
          <w:sz w:val="20"/>
          <w:szCs w:val="18"/>
        </w:rPr>
        <w:t xml:space="preserve"> at least 5% lower satisfaction than the QoWL Benchmark value.*Saw is a negatively phrased factor, where higher agreement indicates less quality of working life.</w:t>
      </w:r>
    </w:p>
    <w:p w:rsidR="00C65E57" w:rsidRDefault="00C65E57" w:rsidP="008F01E5">
      <w:pPr>
        <w:pStyle w:val="Heading2"/>
        <w:spacing w:before="0"/>
        <w:rPr>
          <w:szCs w:val="24"/>
        </w:rPr>
      </w:pPr>
    </w:p>
    <w:p w:rsidR="008F01E5" w:rsidRPr="009C2840" w:rsidRDefault="008F01E5" w:rsidP="008F01E5">
      <w:pPr>
        <w:pStyle w:val="Heading2"/>
        <w:spacing w:before="0"/>
        <w:rPr>
          <w:szCs w:val="24"/>
        </w:rPr>
      </w:pPr>
      <w:r w:rsidRPr="009C2840">
        <w:rPr>
          <w:szCs w:val="24"/>
        </w:rPr>
        <w:t>Benchmarks Used</w:t>
      </w:r>
    </w:p>
    <w:p w:rsidR="008F01E5" w:rsidRPr="009C2840" w:rsidRDefault="008F01E5" w:rsidP="008F01E5">
      <w:pPr>
        <w:rPr>
          <w:rFonts w:ascii="Arial" w:eastAsia="Arial Unicode MS" w:hAnsi="Arial" w:cs="Arial"/>
          <w:szCs w:val="24"/>
        </w:rPr>
      </w:pPr>
    </w:p>
    <w:p w:rsidR="008F01E5" w:rsidRPr="009C2840" w:rsidRDefault="008F01E5" w:rsidP="008F01E5">
      <w:pPr>
        <w:rPr>
          <w:rFonts w:ascii="Arial" w:eastAsia="Arial Unicode MS" w:hAnsi="Arial" w:cs="Arial"/>
          <w:szCs w:val="24"/>
        </w:rPr>
      </w:pPr>
      <w:r w:rsidRPr="009C2840">
        <w:rPr>
          <w:rFonts w:ascii="Arial" w:eastAsia="Arial Unicode MS" w:hAnsi="Arial" w:cs="Arial"/>
          <w:szCs w:val="24"/>
        </w:rPr>
        <w:t xml:space="preserve">Two benchmarks were used in the preparation of this report.  A university-sector </w:t>
      </w:r>
      <w:r w:rsidRPr="009C2840">
        <w:rPr>
          <w:rFonts w:ascii="Arial" w:hAnsi="Arial" w:cs="Arial"/>
          <w:szCs w:val="24"/>
        </w:rPr>
        <w:t>QoWL</w:t>
      </w:r>
      <w:r w:rsidRPr="009C2840">
        <w:rPr>
          <w:rFonts w:ascii="Arial" w:eastAsia="Arial Unicode MS" w:hAnsi="Arial" w:cs="Arial"/>
          <w:szCs w:val="24"/>
        </w:rPr>
        <w:t xml:space="preserve"> benchmark was used for both the </w:t>
      </w:r>
      <w:r w:rsidRPr="009C2840">
        <w:rPr>
          <w:rFonts w:ascii="Arial" w:hAnsi="Arial" w:cs="Arial"/>
          <w:szCs w:val="24"/>
        </w:rPr>
        <w:t>QoWL Core and QoWL Workplace Outcome Scales and HSE’s working population benchmark was used for the HSE Stress Scale.</w:t>
      </w:r>
    </w:p>
    <w:p w:rsidR="008F01E5" w:rsidRPr="009C2840" w:rsidRDefault="008F01E5" w:rsidP="008F01E5">
      <w:pPr>
        <w:rPr>
          <w:rFonts w:ascii="Arial" w:hAnsi="Arial" w:cs="Arial"/>
          <w:b/>
          <w:snapToGrid w:val="0"/>
          <w:color w:val="000000"/>
          <w:szCs w:val="24"/>
          <w:u w:val="single"/>
        </w:rPr>
      </w:pPr>
    </w:p>
    <w:p w:rsidR="008F01E5" w:rsidRDefault="008F01E5" w:rsidP="008F01E5">
      <w:pPr>
        <w:rPr>
          <w:rFonts w:ascii="Arial" w:hAnsi="Arial" w:cs="Arial"/>
          <w:spacing w:val="-3"/>
          <w:szCs w:val="24"/>
        </w:rPr>
      </w:pPr>
      <w:r w:rsidRPr="009C2840">
        <w:rPr>
          <w:rFonts w:ascii="Arial" w:hAnsi="Arial" w:cs="Arial"/>
          <w:spacing w:val="-3"/>
          <w:szCs w:val="24"/>
        </w:rPr>
        <w:t>The QoWL Quality of Working Life survey was distributed to staff at the University of Huddersfield</w:t>
      </w:r>
      <w:r>
        <w:rPr>
          <w:rFonts w:ascii="Arial" w:hAnsi="Arial" w:cs="Arial"/>
          <w:spacing w:val="-3"/>
          <w:szCs w:val="24"/>
        </w:rPr>
        <w:t xml:space="preserve"> during March / April 2017</w:t>
      </w:r>
      <w:r w:rsidRPr="009C2840">
        <w:rPr>
          <w:rFonts w:ascii="Arial" w:hAnsi="Arial" w:cs="Arial"/>
          <w:spacing w:val="-3"/>
          <w:szCs w:val="24"/>
        </w:rPr>
        <w:t xml:space="preserve">.  The survey incorporated the QoWL </w:t>
      </w:r>
      <w:r>
        <w:rPr>
          <w:rFonts w:ascii="Arial" w:hAnsi="Arial" w:cs="Arial"/>
          <w:spacing w:val="-3"/>
          <w:szCs w:val="24"/>
        </w:rPr>
        <w:t xml:space="preserve">Work-Related </w:t>
      </w:r>
      <w:r w:rsidRPr="009C2840">
        <w:rPr>
          <w:rFonts w:ascii="Arial" w:hAnsi="Arial" w:cs="Arial"/>
          <w:spacing w:val="-3"/>
          <w:szCs w:val="24"/>
        </w:rPr>
        <w:t>Quality of Life and Workplace</w:t>
      </w:r>
      <w:r>
        <w:rPr>
          <w:rFonts w:ascii="Arial" w:hAnsi="Arial" w:cs="Arial"/>
          <w:spacing w:val="-3"/>
          <w:szCs w:val="24"/>
        </w:rPr>
        <w:t xml:space="preserve"> Well-being</w:t>
      </w:r>
      <w:r w:rsidRPr="009C2840">
        <w:rPr>
          <w:rFonts w:ascii="Arial" w:hAnsi="Arial" w:cs="Arial"/>
          <w:spacing w:val="-3"/>
          <w:szCs w:val="24"/>
        </w:rPr>
        <w:t xml:space="preserve"> Outcome Scales and the Health and Safety Executive’s (HSE) Work-Related Stress scale.  The key findings from the survey appear below.</w:t>
      </w:r>
    </w:p>
    <w:p w:rsidR="00944657" w:rsidRPr="008F01E5" w:rsidRDefault="00C040AF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4"/>
        </w:rPr>
      </w:pPr>
      <w:r w:rsidRPr="008F01E5">
        <w:rPr>
          <w:rFonts w:ascii="Arial" w:hAnsi="Arial" w:cs="Arial"/>
          <w:b/>
          <w:spacing w:val="-3"/>
          <w:sz w:val="28"/>
          <w:szCs w:val="24"/>
        </w:rPr>
        <w:lastRenderedPageBreak/>
        <w:t>S</w:t>
      </w:r>
      <w:r w:rsidR="00944657" w:rsidRPr="008F01E5">
        <w:rPr>
          <w:rFonts w:ascii="Arial" w:hAnsi="Arial" w:cs="Arial"/>
          <w:b/>
          <w:spacing w:val="-3"/>
          <w:sz w:val="28"/>
          <w:szCs w:val="24"/>
        </w:rPr>
        <w:t xml:space="preserve">ummary </w:t>
      </w:r>
      <w:r w:rsidR="00BC2BAC" w:rsidRPr="008F01E5">
        <w:rPr>
          <w:rFonts w:ascii="Arial" w:hAnsi="Arial" w:cs="Arial"/>
          <w:b/>
          <w:spacing w:val="-3"/>
          <w:sz w:val="28"/>
          <w:szCs w:val="24"/>
        </w:rPr>
        <w:t>Comment</w:t>
      </w:r>
      <w:r w:rsidR="00944657" w:rsidRPr="008F01E5">
        <w:rPr>
          <w:rFonts w:ascii="Arial" w:hAnsi="Arial" w:cs="Arial"/>
          <w:b/>
          <w:spacing w:val="-3"/>
          <w:sz w:val="28"/>
          <w:szCs w:val="24"/>
        </w:rPr>
        <w:t>s</w:t>
      </w:r>
    </w:p>
    <w:p w:rsidR="00C040AF" w:rsidRDefault="00C040AF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</w:p>
    <w:p w:rsidR="00BC2BAC" w:rsidRPr="009C2840" w:rsidRDefault="00BC2BAC" w:rsidP="00BC2BAC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WRQoL factors</w:t>
      </w:r>
      <w:r w:rsidR="00142691">
        <w:rPr>
          <w:rFonts w:ascii="Arial" w:hAnsi="Arial" w:cs="Arial"/>
          <w:b/>
          <w:spacing w:val="-3"/>
          <w:szCs w:val="24"/>
        </w:rPr>
        <w:t>,</w:t>
      </w:r>
      <w:r w:rsidR="00944657">
        <w:rPr>
          <w:rFonts w:ascii="Arial" w:hAnsi="Arial" w:cs="Arial"/>
          <w:b/>
          <w:spacing w:val="-3"/>
          <w:szCs w:val="24"/>
        </w:rPr>
        <w:t xml:space="preserve"> </w:t>
      </w:r>
      <w:r w:rsidR="00142691">
        <w:rPr>
          <w:rFonts w:ascii="Arial" w:hAnsi="Arial" w:cs="Arial"/>
          <w:b/>
          <w:spacing w:val="-3"/>
          <w:szCs w:val="24"/>
        </w:rPr>
        <w:t>a</w:t>
      </w:r>
      <w:r w:rsidR="00944657">
        <w:rPr>
          <w:rFonts w:ascii="Arial" w:hAnsi="Arial" w:cs="Arial"/>
          <w:b/>
          <w:spacing w:val="-3"/>
          <w:szCs w:val="24"/>
        </w:rPr>
        <w:t>ll</w:t>
      </w:r>
      <w:r>
        <w:rPr>
          <w:rFonts w:ascii="Arial" w:hAnsi="Arial" w:cs="Arial"/>
          <w:b/>
          <w:spacing w:val="-3"/>
          <w:szCs w:val="24"/>
        </w:rPr>
        <w:t xml:space="preserve"> sta</w:t>
      </w:r>
      <w:r w:rsidR="00944657">
        <w:rPr>
          <w:rFonts w:ascii="Arial" w:hAnsi="Arial" w:cs="Arial"/>
          <w:b/>
          <w:spacing w:val="-3"/>
          <w:szCs w:val="24"/>
        </w:rPr>
        <w:t>f</w:t>
      </w:r>
      <w:r>
        <w:rPr>
          <w:rFonts w:ascii="Arial" w:hAnsi="Arial" w:cs="Arial"/>
          <w:b/>
          <w:spacing w:val="-3"/>
          <w:szCs w:val="24"/>
        </w:rPr>
        <w:t>f</w:t>
      </w:r>
      <w:r w:rsidR="008F01E5">
        <w:rPr>
          <w:rFonts w:ascii="Arial" w:hAnsi="Arial" w:cs="Arial"/>
          <w:b/>
          <w:spacing w:val="-3"/>
          <w:szCs w:val="24"/>
        </w:rPr>
        <w:t xml:space="preserve"> (see below for summary table)</w:t>
      </w:r>
      <w:r w:rsidRPr="009C2840">
        <w:rPr>
          <w:rFonts w:ascii="Arial" w:hAnsi="Arial" w:cs="Arial"/>
          <w:b/>
          <w:spacing w:val="-3"/>
          <w:szCs w:val="24"/>
        </w:rPr>
        <w:t>:</w:t>
      </w:r>
    </w:p>
    <w:p w:rsidR="00C040AF" w:rsidRPr="009C2840" w:rsidRDefault="00C040AF" w:rsidP="00C040AF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</w:p>
    <w:p w:rsidR="00C040AF" w:rsidRPr="00116494" w:rsidRDefault="00C040AF" w:rsidP="00C040A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116494">
        <w:rPr>
          <w:rFonts w:ascii="Arial" w:hAnsi="Arial" w:cs="Arial"/>
          <w:color w:val="000000" w:themeColor="text1"/>
          <w:spacing w:val="-3"/>
          <w:szCs w:val="24"/>
        </w:rPr>
        <w:t xml:space="preserve">57% of University of Huddersfield employees agree that they have a good </w:t>
      </w:r>
      <w:r w:rsidR="002730D5">
        <w:rPr>
          <w:rFonts w:ascii="Arial" w:hAnsi="Arial" w:cs="Arial"/>
          <w:color w:val="000000" w:themeColor="text1"/>
          <w:spacing w:val="-3"/>
          <w:szCs w:val="24"/>
        </w:rPr>
        <w:t>quality of working life (QoWL)</w:t>
      </w:r>
      <w:r w:rsidRPr="00116494">
        <w:rPr>
          <w:rFonts w:ascii="Arial" w:hAnsi="Arial" w:cs="Arial"/>
          <w:color w:val="000000" w:themeColor="text1"/>
          <w:spacing w:val="-3"/>
          <w:szCs w:val="24"/>
        </w:rPr>
        <w:t>.</w:t>
      </w:r>
    </w:p>
    <w:p w:rsidR="00C040AF" w:rsidRPr="00116494" w:rsidRDefault="00C040AF" w:rsidP="00C040A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116494">
        <w:rPr>
          <w:rFonts w:ascii="Arial" w:hAnsi="Arial" w:cs="Arial"/>
          <w:color w:val="000000" w:themeColor="text1"/>
          <w:spacing w:val="-3"/>
          <w:szCs w:val="24"/>
        </w:rPr>
        <w:t>Employees report similar levels of Stress at Work to benchmark sample data.</w:t>
      </w:r>
    </w:p>
    <w:p w:rsidR="00C040AF" w:rsidRPr="00116494" w:rsidRDefault="00C040AF" w:rsidP="00C040A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116494">
        <w:rPr>
          <w:rFonts w:ascii="Arial" w:hAnsi="Arial" w:cs="Arial"/>
          <w:color w:val="000000" w:themeColor="text1"/>
          <w:spacing w:val="-3"/>
          <w:szCs w:val="24"/>
        </w:rPr>
        <w:t xml:space="preserve">University of Huddersfield employees continue to report substantially greater levels of satisfaction with Working Conditions than </w:t>
      </w:r>
      <w:r w:rsidR="002730D5">
        <w:rPr>
          <w:rFonts w:ascii="Arial" w:hAnsi="Arial" w:cs="Arial"/>
          <w:color w:val="000000" w:themeColor="text1"/>
          <w:spacing w:val="-3"/>
          <w:szCs w:val="24"/>
        </w:rPr>
        <w:t xml:space="preserve">the </w:t>
      </w:r>
      <w:r w:rsidRPr="00116494">
        <w:rPr>
          <w:rFonts w:ascii="Arial" w:hAnsi="Arial" w:cs="Arial"/>
          <w:color w:val="000000" w:themeColor="text1"/>
          <w:spacing w:val="-3"/>
          <w:szCs w:val="24"/>
        </w:rPr>
        <w:t>benchmark sample.</w:t>
      </w:r>
    </w:p>
    <w:p w:rsidR="00C040AF" w:rsidRPr="00116494" w:rsidRDefault="00C040AF" w:rsidP="00C040A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116494">
        <w:rPr>
          <w:rFonts w:ascii="Arial" w:hAnsi="Arial" w:cs="Arial"/>
          <w:color w:val="000000" w:themeColor="text1"/>
          <w:spacing w:val="-3"/>
          <w:szCs w:val="24"/>
        </w:rPr>
        <w:t xml:space="preserve">Overall, University of </w:t>
      </w:r>
      <w:r>
        <w:rPr>
          <w:rFonts w:ascii="Arial" w:hAnsi="Arial" w:cs="Arial"/>
          <w:color w:val="000000" w:themeColor="text1"/>
          <w:spacing w:val="-3"/>
          <w:szCs w:val="24"/>
        </w:rPr>
        <w:t xml:space="preserve">Huddersfield employees </w:t>
      </w:r>
      <w:r w:rsidRPr="00116494">
        <w:rPr>
          <w:rFonts w:ascii="Arial" w:hAnsi="Arial" w:cs="Arial"/>
          <w:color w:val="000000" w:themeColor="text1"/>
          <w:spacing w:val="-3"/>
          <w:szCs w:val="24"/>
        </w:rPr>
        <w:t xml:space="preserve">report </w:t>
      </w:r>
      <w:r w:rsidR="002730D5">
        <w:rPr>
          <w:rFonts w:ascii="Arial" w:hAnsi="Arial" w:cs="Arial"/>
          <w:color w:val="000000" w:themeColor="text1"/>
          <w:spacing w:val="-3"/>
          <w:szCs w:val="24"/>
        </w:rPr>
        <w:t xml:space="preserve">a </w:t>
      </w:r>
      <w:r w:rsidRPr="00116494">
        <w:rPr>
          <w:rFonts w:ascii="Arial" w:hAnsi="Arial" w:cs="Arial"/>
          <w:color w:val="000000" w:themeColor="text1"/>
          <w:spacing w:val="-3"/>
          <w:szCs w:val="24"/>
        </w:rPr>
        <w:t>similar QoWL to the university benchmark sample with the exception of the Control at Work factor.</w:t>
      </w:r>
    </w:p>
    <w:p w:rsidR="00C040AF" w:rsidRDefault="00C040AF" w:rsidP="00C040AF">
      <w:pPr>
        <w:autoSpaceDE w:val="0"/>
        <w:autoSpaceDN w:val="0"/>
        <w:adjustRightInd w:val="0"/>
        <w:rPr>
          <w:rFonts w:ascii="Arial" w:hAnsi="Arial" w:cs="Arial"/>
          <w:spacing w:val="-3"/>
          <w:szCs w:val="24"/>
        </w:rPr>
      </w:pP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 xml:space="preserve">For the 2017 survey, </w:t>
      </w:r>
      <w:r w:rsidR="002730D5">
        <w:rPr>
          <w:rFonts w:ascii="Arial" w:hAnsi="Arial" w:cs="Arial"/>
          <w:color w:val="000000" w:themeColor="text1"/>
          <w:spacing w:val="-3"/>
          <w:szCs w:val="24"/>
        </w:rPr>
        <w:t>further</w:t>
      </w:r>
      <w:r w:rsidRPr="00CF14A6">
        <w:rPr>
          <w:rFonts w:ascii="Arial" w:hAnsi="Arial" w:cs="Arial"/>
          <w:color w:val="000000" w:themeColor="text1"/>
          <w:spacing w:val="-3"/>
          <w:szCs w:val="24"/>
        </w:rPr>
        <w:t xml:space="preserve"> WRQoL analyses were carried out to look at: differences between general staff categories; gender differences within staff categories; differences between Non-Academic departments, and differences between Academic Schools (including staff categories). The main findings from these analyses can be found below.</w:t>
      </w: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b/>
          <w:color w:val="000000" w:themeColor="text1"/>
          <w:spacing w:val="-3"/>
          <w:szCs w:val="24"/>
        </w:rPr>
        <w:t>Staff Analysis: General staff categories</w:t>
      </w: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</w:p>
    <w:p w:rsidR="00C040AF" w:rsidRPr="00CF14A6" w:rsidRDefault="00C040AF" w:rsidP="00C040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 xml:space="preserve">Results for Academic Staff indicated lower QoWL than the university benchmark sample for all six factors. </w:t>
      </w:r>
    </w:p>
    <w:p w:rsidR="00C040AF" w:rsidRDefault="00C040AF" w:rsidP="00C040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 xml:space="preserve">The highest scores for </w:t>
      </w:r>
      <w:r w:rsidRPr="00CF14A6">
        <w:rPr>
          <w:rFonts w:ascii="Arial" w:hAnsi="Arial" w:cs="Arial"/>
          <w:bCs/>
          <w:color w:val="000000" w:themeColor="text1"/>
          <w:szCs w:val="24"/>
        </w:rPr>
        <w:t xml:space="preserve">Home-Work Interface and Working Conditions </w:t>
      </w:r>
      <w:r w:rsidRPr="00CF14A6">
        <w:rPr>
          <w:rFonts w:ascii="Arial" w:hAnsi="Arial" w:cs="Arial"/>
          <w:color w:val="000000" w:themeColor="text1"/>
          <w:spacing w:val="-3"/>
          <w:szCs w:val="24"/>
        </w:rPr>
        <w:t>were again found among Support Staff, these being higher than the benchmark sample.</w:t>
      </w:r>
    </w:p>
    <w:p w:rsidR="00C040AF" w:rsidRDefault="00C040AF" w:rsidP="00C040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>
        <w:rPr>
          <w:rFonts w:ascii="Arial" w:hAnsi="Arial" w:cs="Arial"/>
          <w:color w:val="000000" w:themeColor="text1"/>
          <w:spacing w:val="-3"/>
          <w:szCs w:val="24"/>
        </w:rPr>
        <w:t>Support staff reported higher levels of QoWL on all WRQoL scale factors when compared with the averages for all staff in 2017.</w:t>
      </w:r>
    </w:p>
    <w:p w:rsidR="00C040AF" w:rsidRPr="00CF14A6" w:rsidRDefault="00C040AF" w:rsidP="00C040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>
        <w:rPr>
          <w:rFonts w:ascii="Arial" w:hAnsi="Arial" w:cs="Arial"/>
          <w:color w:val="000000" w:themeColor="text1"/>
          <w:spacing w:val="-3"/>
          <w:szCs w:val="24"/>
        </w:rPr>
        <w:t>Academic staff scores may warrant consideration given apparent lowering of satisfaction scores on all factors compared with 2015,</w:t>
      </w: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</w:p>
    <w:p w:rsidR="008F01E5" w:rsidRPr="00142691" w:rsidRDefault="008F01E5" w:rsidP="008F01E5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  <w:r w:rsidRPr="00142691">
        <w:rPr>
          <w:rFonts w:ascii="Arial" w:hAnsi="Arial" w:cs="Arial"/>
          <w:b/>
          <w:spacing w:val="-3"/>
          <w:szCs w:val="24"/>
        </w:rPr>
        <w:t>Staff Analysis: Staff-gender categories</w:t>
      </w: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>This analysis looked at gender differences within staff categories. Academic and Research groups were combined for this analysis.  Some interesting findings emerged:</w:t>
      </w: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</w:p>
    <w:p w:rsidR="00C040AF" w:rsidRPr="00CF14A6" w:rsidRDefault="00C040AF" w:rsidP="00C040A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>With the exception of the C</w:t>
      </w:r>
      <w:r w:rsidR="00C65E57">
        <w:rPr>
          <w:rFonts w:ascii="Arial" w:hAnsi="Arial" w:cs="Arial"/>
          <w:color w:val="000000" w:themeColor="text1"/>
          <w:spacing w:val="-3"/>
          <w:szCs w:val="24"/>
        </w:rPr>
        <w:t xml:space="preserve">ontrol at Work </w:t>
      </w:r>
      <w:r w:rsidRPr="00CF14A6">
        <w:rPr>
          <w:rFonts w:ascii="Arial" w:hAnsi="Arial" w:cs="Arial"/>
          <w:color w:val="000000" w:themeColor="text1"/>
          <w:spacing w:val="-3"/>
          <w:szCs w:val="24"/>
        </w:rPr>
        <w:t>subscale, female staff reported higher QoWL than male staff. This appeared to reflect, in particular, differences between the reported experience of male and female Support Staff.</w:t>
      </w:r>
    </w:p>
    <w:p w:rsidR="00C040AF" w:rsidRPr="00CF14A6" w:rsidRDefault="00C040AF" w:rsidP="00C040A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 xml:space="preserve">Male and female Academics and Researchers reported </w:t>
      </w:r>
      <w:r w:rsidR="002730D5">
        <w:rPr>
          <w:rFonts w:ascii="Arial" w:hAnsi="Arial" w:cs="Arial"/>
          <w:color w:val="000000" w:themeColor="text1"/>
          <w:spacing w:val="-3"/>
          <w:szCs w:val="24"/>
        </w:rPr>
        <w:t xml:space="preserve">a </w:t>
      </w:r>
      <w:r w:rsidRPr="00CF14A6">
        <w:rPr>
          <w:rFonts w:ascii="Arial" w:hAnsi="Arial" w:cs="Arial"/>
          <w:color w:val="000000" w:themeColor="text1"/>
          <w:spacing w:val="-3"/>
          <w:szCs w:val="24"/>
        </w:rPr>
        <w:t>similar experience of QoWL across the subscales.</w:t>
      </w:r>
    </w:p>
    <w:p w:rsidR="00C040AF" w:rsidRPr="00CF14A6" w:rsidRDefault="00C040AF" w:rsidP="00C040A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 xml:space="preserve">The highest gender differences were to be found on the </w:t>
      </w:r>
      <w:r w:rsidRPr="00CF14A6">
        <w:rPr>
          <w:rFonts w:ascii="Arial" w:hAnsi="Arial" w:cs="Arial"/>
          <w:bCs/>
          <w:color w:val="000000" w:themeColor="text1"/>
          <w:szCs w:val="24"/>
        </w:rPr>
        <w:t xml:space="preserve">Home-Work Interface </w:t>
      </w:r>
      <w:r w:rsidRPr="00CF14A6">
        <w:rPr>
          <w:rFonts w:ascii="Arial" w:hAnsi="Arial" w:cs="Arial"/>
          <w:color w:val="000000" w:themeColor="text1"/>
          <w:spacing w:val="-3"/>
          <w:szCs w:val="24"/>
        </w:rPr>
        <w:t>factor.</w:t>
      </w:r>
    </w:p>
    <w:p w:rsidR="00C040AF" w:rsidRPr="00B22831" w:rsidRDefault="00C040AF" w:rsidP="00C040AF">
      <w:pPr>
        <w:autoSpaceDE w:val="0"/>
        <w:autoSpaceDN w:val="0"/>
        <w:adjustRightInd w:val="0"/>
        <w:rPr>
          <w:rFonts w:ascii="Arial" w:hAnsi="Arial" w:cs="Arial"/>
          <w:color w:val="FF0000"/>
          <w:spacing w:val="-3"/>
          <w:szCs w:val="24"/>
        </w:rPr>
      </w:pPr>
    </w:p>
    <w:p w:rsidR="008F01E5" w:rsidRDefault="008F01E5" w:rsidP="008F01E5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Staff Analyses: Academic Schools and Professional Services</w:t>
      </w: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pacing w:val="-3"/>
          <w:szCs w:val="24"/>
        </w:rPr>
      </w:pPr>
    </w:p>
    <w:p w:rsidR="00C040AF" w:rsidRPr="00CF14A6" w:rsidRDefault="00C040AF" w:rsidP="00C040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>In general, higher QoWL was found across Non-Academic departments, with high scores in several departments.</w:t>
      </w:r>
    </w:p>
    <w:p w:rsidR="00C040AF" w:rsidRDefault="00C040AF" w:rsidP="00C040A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  <w:r w:rsidRPr="00CF14A6">
        <w:rPr>
          <w:rFonts w:ascii="Arial" w:hAnsi="Arial" w:cs="Arial"/>
          <w:color w:val="000000" w:themeColor="text1"/>
          <w:spacing w:val="-3"/>
          <w:szCs w:val="24"/>
        </w:rPr>
        <w:t>The picture across the Academic Schools was mixed, with some substantial variations between schools, as well as within schools in relation to QoWL subscales and staff groups.</w:t>
      </w:r>
    </w:p>
    <w:p w:rsidR="002730D5" w:rsidRPr="00CF14A6" w:rsidRDefault="002730D5" w:rsidP="002730D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-3"/>
          <w:szCs w:val="24"/>
        </w:rPr>
      </w:pPr>
    </w:p>
    <w:p w:rsidR="008F01E5" w:rsidRPr="00226745" w:rsidRDefault="008F01E5" w:rsidP="008F01E5">
      <w:pPr>
        <w:rPr>
          <w:rFonts w:ascii="Arial" w:hAnsi="Arial" w:cs="Arial"/>
          <w:b/>
          <w:color w:val="000000" w:themeColor="text1"/>
          <w:szCs w:val="24"/>
        </w:rPr>
      </w:pPr>
      <w:bookmarkStart w:id="0" w:name="_Toc481934735"/>
      <w:r w:rsidRPr="00226745">
        <w:rPr>
          <w:rFonts w:ascii="Arial" w:hAnsi="Arial" w:cs="Arial"/>
          <w:b/>
          <w:color w:val="000000" w:themeColor="text1"/>
          <w:szCs w:val="24"/>
        </w:rPr>
        <w:lastRenderedPageBreak/>
        <w:t>Workplace Well-being Outcome (WWO) Analysis</w:t>
      </w:r>
      <w:bookmarkEnd w:id="0"/>
      <w:r w:rsidRPr="0022674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8F01E5" w:rsidRPr="00CF14A6" w:rsidRDefault="008F01E5" w:rsidP="008F01E5">
      <w:pPr>
        <w:rPr>
          <w:rFonts w:ascii="Arial" w:hAnsi="Arial" w:cs="Arial"/>
          <w:color w:val="000000" w:themeColor="text1"/>
          <w:szCs w:val="24"/>
        </w:rPr>
      </w:pPr>
    </w:p>
    <w:p w:rsidR="008F01E5" w:rsidRDefault="008F01E5" w:rsidP="008F01E5">
      <w:pPr>
        <w:numPr>
          <w:ilvl w:val="0"/>
          <w:numId w:val="10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WWO </w:t>
      </w:r>
      <w:r w:rsidRPr="00CF14A6">
        <w:rPr>
          <w:rFonts w:ascii="Arial" w:hAnsi="Arial" w:cs="Arial"/>
          <w:color w:val="000000" w:themeColor="text1"/>
          <w:szCs w:val="24"/>
        </w:rPr>
        <w:t xml:space="preserve">survey results </w:t>
      </w:r>
      <w:r>
        <w:rPr>
          <w:rFonts w:ascii="Arial" w:hAnsi="Arial" w:cs="Arial"/>
          <w:color w:val="000000" w:themeColor="text1"/>
          <w:szCs w:val="24"/>
        </w:rPr>
        <w:t>tended to be lower for 2017 than for previous years</w:t>
      </w:r>
      <w:r w:rsidR="002730D5">
        <w:rPr>
          <w:rFonts w:ascii="Arial" w:hAnsi="Arial" w:cs="Arial"/>
          <w:color w:val="000000" w:themeColor="text1"/>
          <w:szCs w:val="24"/>
        </w:rPr>
        <w:t xml:space="preserve"> at the University of Huddersfield</w:t>
      </w:r>
      <w:r>
        <w:rPr>
          <w:rFonts w:ascii="Arial" w:hAnsi="Arial" w:cs="Arial"/>
          <w:color w:val="000000" w:themeColor="text1"/>
          <w:szCs w:val="24"/>
        </w:rPr>
        <w:t>.</w:t>
      </w:r>
    </w:p>
    <w:p w:rsidR="008F01E5" w:rsidRPr="00CF14A6" w:rsidRDefault="008F01E5" w:rsidP="008F01E5">
      <w:pPr>
        <w:numPr>
          <w:ilvl w:val="0"/>
          <w:numId w:val="10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The 2017 results are similar to the University benchmark sample of university staff.</w:t>
      </w:r>
    </w:p>
    <w:p w:rsidR="00C040AF" w:rsidRDefault="00C040AF" w:rsidP="00C040AF">
      <w:pPr>
        <w:autoSpaceDE w:val="0"/>
        <w:autoSpaceDN w:val="0"/>
        <w:adjustRightInd w:val="0"/>
        <w:rPr>
          <w:rFonts w:ascii="Arial" w:hAnsi="Arial" w:cs="Arial"/>
          <w:color w:val="FF0000"/>
          <w:spacing w:val="-3"/>
          <w:szCs w:val="24"/>
        </w:rPr>
      </w:pPr>
    </w:p>
    <w:p w:rsidR="00C040AF" w:rsidRPr="00CF14A6" w:rsidRDefault="00C040AF" w:rsidP="00C040AF">
      <w:pPr>
        <w:rPr>
          <w:rFonts w:ascii="Arial" w:hAnsi="Arial" w:cs="Arial"/>
          <w:b/>
          <w:color w:val="000000" w:themeColor="text1"/>
          <w:szCs w:val="24"/>
        </w:rPr>
      </w:pPr>
      <w:r w:rsidRPr="00CF14A6">
        <w:rPr>
          <w:rFonts w:ascii="Arial" w:hAnsi="Arial" w:cs="Arial"/>
          <w:b/>
          <w:color w:val="000000" w:themeColor="text1"/>
          <w:szCs w:val="24"/>
        </w:rPr>
        <w:t>HSE Management Standards Analysis</w:t>
      </w:r>
    </w:p>
    <w:p w:rsidR="00C040AF" w:rsidRPr="00CF14A6" w:rsidRDefault="00C040AF" w:rsidP="00C040AF">
      <w:pPr>
        <w:rPr>
          <w:rFonts w:ascii="Arial" w:hAnsi="Arial" w:cs="Arial"/>
          <w:color w:val="000000" w:themeColor="text1"/>
          <w:szCs w:val="24"/>
        </w:rPr>
      </w:pPr>
    </w:p>
    <w:p w:rsidR="00C040AF" w:rsidRDefault="00C040AF" w:rsidP="00C040AF">
      <w:pPr>
        <w:numPr>
          <w:ilvl w:val="0"/>
          <w:numId w:val="8"/>
        </w:numPr>
        <w:rPr>
          <w:rFonts w:ascii="Arial" w:hAnsi="Arial" w:cs="Arial"/>
          <w:color w:val="000000" w:themeColor="text1"/>
          <w:szCs w:val="24"/>
        </w:rPr>
      </w:pPr>
      <w:r w:rsidRPr="00CF14A6">
        <w:rPr>
          <w:rFonts w:ascii="Arial" w:hAnsi="Arial" w:cs="Arial"/>
          <w:color w:val="000000" w:themeColor="text1"/>
          <w:szCs w:val="24"/>
        </w:rPr>
        <w:t>On the whole, survey results a</w:t>
      </w:r>
      <w:r>
        <w:rPr>
          <w:rFonts w:ascii="Arial" w:hAnsi="Arial" w:cs="Arial"/>
          <w:color w:val="000000" w:themeColor="text1"/>
          <w:szCs w:val="24"/>
        </w:rPr>
        <w:t>re lower for 2017 than for 2015</w:t>
      </w:r>
    </w:p>
    <w:p w:rsidR="00C040AF" w:rsidRPr="00CF14A6" w:rsidRDefault="00C040AF" w:rsidP="00C040AF">
      <w:pPr>
        <w:numPr>
          <w:ilvl w:val="0"/>
          <w:numId w:val="8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The 2017 results are similar to the University benchmark sample, with the exception of the control and relationships factors</w:t>
      </w:r>
    </w:p>
    <w:p w:rsidR="00C040AF" w:rsidRDefault="00C040AF" w:rsidP="00C040AF">
      <w:pPr>
        <w:numPr>
          <w:ilvl w:val="0"/>
          <w:numId w:val="8"/>
        </w:numPr>
        <w:rPr>
          <w:rFonts w:ascii="Arial" w:hAnsi="Arial" w:cs="Arial"/>
          <w:color w:val="000000" w:themeColor="text1"/>
          <w:szCs w:val="24"/>
        </w:rPr>
      </w:pPr>
      <w:r w:rsidRPr="00CF14A6">
        <w:rPr>
          <w:rFonts w:ascii="Arial" w:hAnsi="Arial" w:cs="Arial"/>
          <w:color w:val="000000" w:themeColor="text1"/>
          <w:szCs w:val="24"/>
        </w:rPr>
        <w:t>Care should be taken with interpreting these results given the differences found between staff groups and within some of the Schools (see above).</w:t>
      </w:r>
    </w:p>
    <w:p w:rsidR="00C040AF" w:rsidRPr="00CF14A6" w:rsidRDefault="00C040AF" w:rsidP="00C040AF">
      <w:pPr>
        <w:ind w:left="720"/>
        <w:rPr>
          <w:rFonts w:ascii="Arial" w:hAnsi="Arial" w:cs="Arial"/>
          <w:color w:val="000000" w:themeColor="text1"/>
          <w:szCs w:val="24"/>
        </w:rPr>
      </w:pPr>
    </w:p>
    <w:p w:rsidR="00C040AF" w:rsidRPr="009C2840" w:rsidRDefault="00C040AF" w:rsidP="00C040AF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</w:p>
    <w:p w:rsidR="00C040AF" w:rsidRPr="009C2840" w:rsidRDefault="00C040AF" w:rsidP="00C040AF">
      <w:pPr>
        <w:autoSpaceDE w:val="0"/>
        <w:autoSpaceDN w:val="0"/>
        <w:adjustRightInd w:val="0"/>
        <w:rPr>
          <w:rFonts w:ascii="Arial" w:hAnsi="Arial" w:cs="Arial"/>
          <w:b/>
          <w:spacing w:val="-3"/>
          <w:szCs w:val="24"/>
        </w:rPr>
      </w:pPr>
      <w:r w:rsidRPr="009C2840">
        <w:rPr>
          <w:rFonts w:ascii="Arial" w:hAnsi="Arial" w:cs="Arial"/>
          <w:b/>
          <w:spacing w:val="-3"/>
          <w:szCs w:val="24"/>
        </w:rPr>
        <w:t>Open questions</w:t>
      </w:r>
    </w:p>
    <w:p w:rsidR="00C040AF" w:rsidRDefault="00C040AF" w:rsidP="00C040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C040AF" w:rsidRPr="00CF14A6" w:rsidRDefault="00C040AF" w:rsidP="00C040AF">
      <w:pPr>
        <w:rPr>
          <w:rFonts w:ascii="Arial" w:hAnsi="Arial" w:cs="Arial"/>
          <w:color w:val="000000" w:themeColor="text1"/>
          <w:szCs w:val="24"/>
        </w:rPr>
      </w:pPr>
      <w:r w:rsidRPr="00CF14A6">
        <w:rPr>
          <w:rFonts w:ascii="Arial" w:hAnsi="Arial" w:cs="Arial"/>
          <w:color w:val="000000" w:themeColor="text1"/>
          <w:szCs w:val="24"/>
        </w:rPr>
        <w:t>Approximately 53% of respondents (valid responses) took the opportunity to provide comments in response to the open question: “How could the quality of working life be improved in your University?</w:t>
      </w:r>
      <w:proofErr w:type="gramStart"/>
      <w:r w:rsidRPr="00CF14A6">
        <w:rPr>
          <w:rFonts w:ascii="Arial" w:hAnsi="Arial" w:cs="Arial"/>
          <w:color w:val="000000" w:themeColor="text1"/>
          <w:szCs w:val="24"/>
        </w:rPr>
        <w:t>”</w:t>
      </w:r>
      <w:r w:rsidR="002730D5">
        <w:rPr>
          <w:rFonts w:ascii="Arial" w:hAnsi="Arial" w:cs="Arial"/>
          <w:color w:val="000000" w:themeColor="text1"/>
          <w:szCs w:val="24"/>
        </w:rPr>
        <w:t>.</w:t>
      </w:r>
      <w:proofErr w:type="gramEnd"/>
      <w:r w:rsidR="002730D5">
        <w:rPr>
          <w:rFonts w:ascii="Arial" w:hAnsi="Arial" w:cs="Arial"/>
          <w:color w:val="000000" w:themeColor="text1"/>
          <w:szCs w:val="24"/>
        </w:rPr>
        <w:t xml:space="preserve">  The responses to the open question broadly reflected the results found in other parts of the survey.</w:t>
      </w:r>
    </w:p>
    <w:p w:rsidR="00C040AF" w:rsidRDefault="00C040AF" w:rsidP="00C040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2730D5" w:rsidRDefault="002730D5" w:rsidP="00C040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8F01E5" w:rsidRPr="00922093" w:rsidRDefault="002730D5" w:rsidP="008F01E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Conclusion</w:t>
      </w:r>
    </w:p>
    <w:p w:rsidR="008F01E5" w:rsidRPr="00922093" w:rsidRDefault="008F01E5" w:rsidP="008F01E5">
      <w:pPr>
        <w:rPr>
          <w:rFonts w:ascii="Arial" w:hAnsi="Arial" w:cs="Arial"/>
          <w:szCs w:val="24"/>
        </w:rPr>
      </w:pPr>
    </w:p>
    <w:p w:rsidR="00C65E57" w:rsidRDefault="008F01E5" w:rsidP="008F01E5">
      <w:pPr>
        <w:rPr>
          <w:rFonts w:ascii="Arial" w:hAnsi="Arial" w:cs="Arial"/>
          <w:color w:val="FF0000"/>
          <w:szCs w:val="24"/>
        </w:rPr>
      </w:pPr>
      <w:r w:rsidRPr="002730D5">
        <w:rPr>
          <w:rFonts w:ascii="Arial" w:hAnsi="Arial" w:cs="Arial"/>
          <w:color w:val="FF0000"/>
          <w:szCs w:val="24"/>
        </w:rPr>
        <w:t>The 201</w:t>
      </w:r>
      <w:r w:rsidR="002730D5" w:rsidRPr="002730D5">
        <w:rPr>
          <w:rFonts w:ascii="Arial" w:hAnsi="Arial" w:cs="Arial"/>
          <w:color w:val="FF0000"/>
          <w:szCs w:val="24"/>
        </w:rPr>
        <w:t>7</w:t>
      </w:r>
      <w:r w:rsidRPr="002730D5">
        <w:rPr>
          <w:rFonts w:ascii="Arial" w:hAnsi="Arial" w:cs="Arial"/>
          <w:color w:val="FF0000"/>
          <w:szCs w:val="24"/>
        </w:rPr>
        <w:t xml:space="preserve"> survey indicated that </w:t>
      </w:r>
      <w:r w:rsidR="00C65E57">
        <w:rPr>
          <w:rFonts w:ascii="Arial" w:hAnsi="Arial" w:cs="Arial"/>
          <w:color w:val="FF0000"/>
          <w:szCs w:val="24"/>
        </w:rPr>
        <w:t xml:space="preserve">quality of working life scale scores for the </w:t>
      </w:r>
      <w:r w:rsidRPr="002730D5">
        <w:rPr>
          <w:rFonts w:ascii="Arial" w:hAnsi="Arial" w:cs="Arial"/>
          <w:color w:val="FF0000"/>
          <w:szCs w:val="24"/>
        </w:rPr>
        <w:t xml:space="preserve">University of Huddersfield </w:t>
      </w:r>
      <w:r w:rsidR="00C65E57">
        <w:rPr>
          <w:rFonts w:ascii="Arial" w:hAnsi="Arial" w:cs="Arial"/>
          <w:color w:val="FF0000"/>
          <w:szCs w:val="24"/>
        </w:rPr>
        <w:t>staff have are lower than in 2015, and are now more similar to the university benchmark norms.</w:t>
      </w:r>
    </w:p>
    <w:p w:rsidR="00C65E57" w:rsidRDefault="00C65E57" w:rsidP="008F01E5">
      <w:pPr>
        <w:rPr>
          <w:rFonts w:ascii="Arial" w:hAnsi="Arial" w:cs="Arial"/>
          <w:color w:val="FF0000"/>
          <w:szCs w:val="24"/>
        </w:rPr>
      </w:pPr>
    </w:p>
    <w:p w:rsidR="00C65E57" w:rsidRDefault="00C65E57" w:rsidP="008F01E5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It was noted that support staff scores were generally above those of the benchmark sample, but that academic staff in some areas were below the benchmark.</w:t>
      </w:r>
    </w:p>
    <w:p w:rsidR="004849D1" w:rsidRDefault="004849D1" w:rsidP="008F01E5">
      <w:pPr>
        <w:rPr>
          <w:rFonts w:ascii="Arial" w:hAnsi="Arial" w:cs="Arial"/>
          <w:color w:val="FF0000"/>
          <w:szCs w:val="24"/>
        </w:rPr>
      </w:pPr>
    </w:p>
    <w:p w:rsidR="004849D1" w:rsidRDefault="004849D1" w:rsidP="008F01E5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It should be noted that survey scores can be affected by a range of factors and that further evidence gathered by the university at a local level may be of help in interpreting the outcomes of the survey.</w:t>
      </w:r>
      <w:bookmarkStart w:id="1" w:name="_GoBack"/>
      <w:bookmarkEnd w:id="1"/>
    </w:p>
    <w:p w:rsidR="00C65E57" w:rsidRDefault="00C65E57" w:rsidP="008F01E5">
      <w:pPr>
        <w:rPr>
          <w:rFonts w:ascii="Arial" w:hAnsi="Arial" w:cs="Arial"/>
          <w:color w:val="FF0000"/>
          <w:szCs w:val="24"/>
        </w:rPr>
      </w:pPr>
    </w:p>
    <w:p w:rsidR="00C040AF" w:rsidRDefault="00C040AF" w:rsidP="00C040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8F01E5" w:rsidRPr="008F01E5" w:rsidRDefault="008F01E5" w:rsidP="00C040A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8F01E5">
        <w:rPr>
          <w:rFonts w:ascii="Arial" w:hAnsi="Arial" w:cs="Arial"/>
          <w:b/>
          <w:bCs/>
          <w:szCs w:val="24"/>
        </w:rPr>
        <w:t>For more information, please contact:</w:t>
      </w:r>
    </w:p>
    <w:p w:rsidR="008F01E5" w:rsidRDefault="008F01E5" w:rsidP="00C040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C040AF" w:rsidRPr="008F01E5" w:rsidRDefault="00C040AF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  <w:r w:rsidRPr="008F01E5">
        <w:rPr>
          <w:rFonts w:ascii="System" w:hAnsi="System" w:cs="System"/>
          <w:bCs/>
        </w:rPr>
        <w:t>Quality of Working Life Research</w:t>
      </w:r>
      <w:r w:rsidR="008F01E5">
        <w:rPr>
          <w:rFonts w:ascii="System" w:hAnsi="System" w:cs="System"/>
          <w:bCs/>
        </w:rPr>
        <w:t xml:space="preserve"> Group</w:t>
      </w:r>
    </w:p>
    <w:p w:rsidR="00C040AF" w:rsidRPr="008F01E5" w:rsidRDefault="00C040AF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  <w:r w:rsidRPr="008F01E5">
        <w:rPr>
          <w:rFonts w:ascii="System" w:hAnsi="System" w:cs="System"/>
          <w:bCs/>
        </w:rPr>
        <w:t>Department of Psychology</w:t>
      </w:r>
    </w:p>
    <w:p w:rsidR="00C040AF" w:rsidRPr="008F01E5" w:rsidRDefault="00C040AF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  <w:r w:rsidRPr="008F01E5">
        <w:rPr>
          <w:rFonts w:ascii="System" w:hAnsi="System" w:cs="System"/>
          <w:bCs/>
        </w:rPr>
        <w:t>University of Portsmouth</w:t>
      </w:r>
    </w:p>
    <w:p w:rsidR="00C040AF" w:rsidRPr="008F01E5" w:rsidRDefault="00C040AF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  <w:r w:rsidRPr="008F01E5">
        <w:rPr>
          <w:rFonts w:ascii="System" w:hAnsi="System" w:cs="System"/>
          <w:bCs/>
        </w:rPr>
        <w:t>Portsmouth</w:t>
      </w:r>
    </w:p>
    <w:p w:rsidR="00C040AF" w:rsidRPr="008F01E5" w:rsidRDefault="00C040AF" w:rsidP="00C040AF">
      <w:pPr>
        <w:rPr>
          <w:rFonts w:ascii="Arial" w:hAnsi="Arial" w:cs="Arial"/>
          <w:color w:val="000000" w:themeColor="text1"/>
          <w:szCs w:val="24"/>
        </w:rPr>
      </w:pPr>
      <w:r w:rsidRPr="008F01E5">
        <w:rPr>
          <w:rFonts w:ascii="Arial" w:hAnsi="Arial" w:cs="Arial"/>
          <w:color w:val="000000" w:themeColor="text1"/>
          <w:szCs w:val="24"/>
        </w:rPr>
        <w:t>Hampshire</w:t>
      </w:r>
    </w:p>
    <w:p w:rsidR="00C040AF" w:rsidRPr="008F01E5" w:rsidRDefault="00C040AF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  <w:r w:rsidRPr="008F01E5">
        <w:rPr>
          <w:rFonts w:ascii="System" w:hAnsi="System" w:cs="System"/>
          <w:bCs/>
        </w:rPr>
        <w:t>PO1 9DY</w:t>
      </w:r>
    </w:p>
    <w:p w:rsidR="00C040AF" w:rsidRDefault="00C040AF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  <w:r w:rsidRPr="008F01E5">
        <w:rPr>
          <w:rFonts w:ascii="System" w:hAnsi="System" w:cs="System"/>
          <w:bCs/>
        </w:rPr>
        <w:t>United Kingdom</w:t>
      </w:r>
    </w:p>
    <w:p w:rsidR="008F01E5" w:rsidRPr="008F01E5" w:rsidRDefault="008F01E5" w:rsidP="00C040AF">
      <w:pPr>
        <w:autoSpaceDE w:val="0"/>
        <w:autoSpaceDN w:val="0"/>
        <w:adjustRightInd w:val="0"/>
        <w:rPr>
          <w:rFonts w:ascii="System" w:hAnsi="System" w:cs="System"/>
          <w:bCs/>
        </w:rPr>
      </w:pPr>
    </w:p>
    <w:p w:rsidR="00C040AF" w:rsidRDefault="00C040AF" w:rsidP="00C040AF">
      <w:pPr>
        <w:ind w:right="-43"/>
        <w:rPr>
          <w:rFonts w:ascii="Arial" w:hAnsi="Arial" w:cs="Arial"/>
          <w:szCs w:val="24"/>
        </w:rPr>
      </w:pPr>
      <w:r w:rsidRPr="008F01E5">
        <w:rPr>
          <w:rFonts w:ascii="Arial" w:hAnsi="Arial" w:cs="Arial"/>
          <w:szCs w:val="24"/>
        </w:rPr>
        <w:t>+ (0) 44 2392 846306</w:t>
      </w:r>
    </w:p>
    <w:p w:rsidR="00C040AF" w:rsidRPr="007E6FA6" w:rsidRDefault="00C040AF" w:rsidP="002730D5">
      <w:pPr>
        <w:ind w:right="-43"/>
        <w:rPr>
          <w:rFonts w:ascii="Arial" w:hAnsi="Arial" w:cs="Arial"/>
          <w:b/>
          <w:bCs/>
          <w:szCs w:val="24"/>
        </w:rPr>
      </w:pPr>
      <w:r w:rsidRPr="008F01E5">
        <w:rPr>
          <w:rFonts w:ascii="Arial" w:hAnsi="Arial" w:cs="Arial"/>
          <w:szCs w:val="24"/>
        </w:rPr>
        <w:t>enquiries@qowl.co.uk</w:t>
      </w:r>
    </w:p>
    <w:sectPr w:rsidR="00C040AF" w:rsidRPr="007E6FA6" w:rsidSect="00C664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AC" w:rsidRDefault="00BC2BAC" w:rsidP="00BC2BAC">
      <w:r>
        <w:separator/>
      </w:r>
    </w:p>
  </w:endnote>
  <w:endnote w:type="continuationSeparator" w:id="0">
    <w:p w:rsidR="00BC2BAC" w:rsidRDefault="00BC2BAC" w:rsidP="00BC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71F" w:rsidRDefault="00BC2BAC">
    <w:pPr>
      <w:pStyle w:val="Footer"/>
      <w:tabs>
        <w:tab w:val="clear" w:pos="4153"/>
        <w:tab w:val="clear" w:pos="8306"/>
        <w:tab w:val="center" w:pos="5040"/>
        <w:tab w:val="left" w:pos="5818"/>
      </w:tabs>
    </w:pPr>
    <w:r>
      <w:rPr>
        <w:rFonts w:ascii="Arial" w:hAnsi="Arial" w:cs="Arial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AC" w:rsidRDefault="00BC2BAC" w:rsidP="00BC2BAC">
      <w:r>
        <w:separator/>
      </w:r>
    </w:p>
  </w:footnote>
  <w:footnote w:type="continuationSeparator" w:id="0">
    <w:p w:rsidR="00BC2BAC" w:rsidRDefault="00BC2BAC" w:rsidP="00BC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AC4"/>
    <w:multiLevelType w:val="hybridMultilevel"/>
    <w:tmpl w:val="1152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4323D"/>
    <w:multiLevelType w:val="hybridMultilevel"/>
    <w:tmpl w:val="0EAC4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B3C"/>
    <w:multiLevelType w:val="hybridMultilevel"/>
    <w:tmpl w:val="1152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3B3CC6"/>
    <w:multiLevelType w:val="hybridMultilevel"/>
    <w:tmpl w:val="94D0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5806A6"/>
    <w:multiLevelType w:val="hybridMultilevel"/>
    <w:tmpl w:val="93B88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924EB3"/>
    <w:multiLevelType w:val="hybridMultilevel"/>
    <w:tmpl w:val="C7047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FF573C"/>
    <w:multiLevelType w:val="hybridMultilevel"/>
    <w:tmpl w:val="D9EE1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5519E"/>
    <w:multiLevelType w:val="hybridMultilevel"/>
    <w:tmpl w:val="BB985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E65F60"/>
    <w:multiLevelType w:val="hybridMultilevel"/>
    <w:tmpl w:val="5B94C01A"/>
    <w:lvl w:ilvl="0" w:tplc="6638E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A46F8"/>
    <w:multiLevelType w:val="hybridMultilevel"/>
    <w:tmpl w:val="99DE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C"/>
    <w:rsid w:val="00056311"/>
    <w:rsid w:val="00142691"/>
    <w:rsid w:val="001644EF"/>
    <w:rsid w:val="001C6515"/>
    <w:rsid w:val="002730D5"/>
    <w:rsid w:val="0031501B"/>
    <w:rsid w:val="004849D1"/>
    <w:rsid w:val="008F01E5"/>
    <w:rsid w:val="00944657"/>
    <w:rsid w:val="009645AE"/>
    <w:rsid w:val="00997CEE"/>
    <w:rsid w:val="00BC2BAC"/>
    <w:rsid w:val="00C040AF"/>
    <w:rsid w:val="00C6134E"/>
    <w:rsid w:val="00C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57FAAB7-D02B-4002-AE2E-FA1AEF17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C2BAC"/>
    <w:pPr>
      <w:keepNext/>
      <w:autoSpaceDE w:val="0"/>
      <w:autoSpaceDN w:val="0"/>
      <w:spacing w:before="120"/>
      <w:outlineLvl w:val="1"/>
    </w:pPr>
    <w:rPr>
      <w:rFonts w:ascii="Arial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C2BAC"/>
    <w:rPr>
      <w:rFonts w:ascii="Arial" w:eastAsia="Times New Roman" w:hAnsi="Arial" w:cs="Arial"/>
      <w:b/>
      <w:bCs/>
      <w:sz w:val="24"/>
    </w:rPr>
  </w:style>
  <w:style w:type="paragraph" w:styleId="Header">
    <w:name w:val="header"/>
    <w:basedOn w:val="Normal"/>
    <w:link w:val="HeaderChar"/>
    <w:uiPriority w:val="99"/>
    <w:rsid w:val="00BC2B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B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C2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BA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C2BA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2BA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4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Easton</dc:creator>
  <cp:lastModifiedBy>Darren Van Laar</cp:lastModifiedBy>
  <cp:revision>3</cp:revision>
  <cp:lastPrinted>2015-05-15T11:25:00Z</cp:lastPrinted>
  <dcterms:created xsi:type="dcterms:W3CDTF">2017-05-11T11:36:00Z</dcterms:created>
  <dcterms:modified xsi:type="dcterms:W3CDTF">2017-05-11T13:51:00Z</dcterms:modified>
</cp:coreProperties>
</file>