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5D" w:rsidRDefault="009C3793" w:rsidP="00A25D5D">
      <w:pPr>
        <w:pStyle w:val="Title"/>
      </w:pPr>
      <w:r>
        <w:t>Equalities La</w:t>
      </w:r>
      <w:r w:rsidR="005F420C">
        <w:t>w and the Impact on the REF 2021</w:t>
      </w:r>
    </w:p>
    <w:p w:rsidR="009E555A" w:rsidRDefault="009E555A" w:rsidP="009E555A">
      <w:r>
        <w:t>This table</w:t>
      </w:r>
      <w:r w:rsidR="009C3793">
        <w:rPr>
          <w:rStyle w:val="FootnoteReference"/>
        </w:rPr>
        <w:footnoteReference w:id="1"/>
      </w:r>
      <w:r>
        <w:t xml:space="preserve"> illustrates </w:t>
      </w:r>
      <w:r w:rsidR="00940B33">
        <w:t xml:space="preserve">how </w:t>
      </w:r>
      <w:r w:rsidR="005F420C">
        <w:t xml:space="preserve">Equalities Law </w:t>
      </w:r>
      <w:r w:rsidR="00940B33">
        <w:t xml:space="preserve">might impact on </w:t>
      </w:r>
      <w:r w:rsidR="005F420C">
        <w:t>the assessments for the REF 2021</w:t>
      </w:r>
      <w:r>
        <w:t xml:space="preserve">. </w:t>
      </w:r>
    </w:p>
    <w:p w:rsidR="00C71333" w:rsidRDefault="00C71333" w:rsidP="009E555A"/>
    <w:tbl>
      <w:tblPr>
        <w:tblW w:w="14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252"/>
        <w:gridCol w:w="4252"/>
        <w:gridCol w:w="4252"/>
      </w:tblGrid>
      <w:tr w:rsidR="00ED2432" w:rsidRPr="009C51CF" w:rsidTr="00ED2432">
        <w:trPr>
          <w:tblHeader/>
        </w:trPr>
        <w:tc>
          <w:tcPr>
            <w:tcW w:w="1526" w:type="dxa"/>
            <w:shd w:val="clear" w:color="auto" w:fill="DBE5F1" w:themeFill="accent1" w:themeFillTint="33"/>
          </w:tcPr>
          <w:p w:rsidR="00ED2432" w:rsidRPr="00940B33" w:rsidRDefault="00ED2432" w:rsidP="00ED2432">
            <w:pPr>
              <w:jc w:val="center"/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Characteristic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ED2432" w:rsidRPr="00940B33" w:rsidRDefault="00ED2432" w:rsidP="00ED2432">
            <w:pPr>
              <w:ind w:left="360"/>
              <w:jc w:val="center"/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Current legislation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ED2432" w:rsidRDefault="00ED2432" w:rsidP="00ED2432">
            <w:pPr>
              <w:ind w:left="360"/>
              <w:jc w:val="center"/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REF implication</w:t>
            </w:r>
          </w:p>
          <w:p w:rsidR="00ED2432" w:rsidRPr="00940B33" w:rsidRDefault="00ED2432" w:rsidP="00ED2432">
            <w:pPr>
              <w:ind w:left="36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ED2432" w:rsidRPr="00940B33" w:rsidRDefault="00ED2432" w:rsidP="002958A5">
            <w:pPr>
              <w:ind w:left="36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Individual Circumstances </w:t>
            </w:r>
          </w:p>
        </w:tc>
      </w:tr>
      <w:tr w:rsidR="00ED2432" w:rsidRPr="009C51CF" w:rsidTr="00ED2432">
        <w:tc>
          <w:tcPr>
            <w:tcW w:w="1526" w:type="dxa"/>
          </w:tcPr>
          <w:p w:rsidR="00ED2432" w:rsidRPr="00940B33" w:rsidRDefault="00ED2432" w:rsidP="00ED2432">
            <w:pPr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Age</w:t>
            </w:r>
          </w:p>
        </w:tc>
        <w:tc>
          <w:tcPr>
            <w:tcW w:w="4252" w:type="dxa"/>
          </w:tcPr>
          <w:p w:rsidR="00ED2432" w:rsidRPr="009C51CF" w:rsidRDefault="00ED2432" w:rsidP="00ED2432">
            <w:pPr>
              <w:rPr>
                <w:rFonts w:cs="Calibri"/>
                <w:b/>
                <w:sz w:val="22"/>
              </w:rPr>
            </w:pPr>
            <w:r w:rsidRPr="009C51CF">
              <w:rPr>
                <w:rFonts w:cs="Calibri"/>
                <w:b/>
                <w:sz w:val="22"/>
              </w:rPr>
              <w:t xml:space="preserve">All employees within the higher education sector are protected from unlawful age discrimination and harassment in employment under the Equality Act 2010 </w:t>
            </w:r>
          </w:p>
          <w:p w:rsidR="00ED2432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Age discrimination can occur when people of a particular age group are treated less favourably than people in other age groups.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 xml:space="preserve">An age group could be, for example, people of the same age, the under 30s or people aged 45-50.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 xml:space="preserve">A person can belong to a number of different age groups. </w:t>
            </w:r>
          </w:p>
          <w:p w:rsidR="00ED2432" w:rsidRDefault="00ED2432" w:rsidP="00ED2432">
            <w:p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S</w:t>
            </w:r>
            <w:r w:rsidRPr="009C51CF">
              <w:rPr>
                <w:rFonts w:cs="Calibri"/>
                <w:sz w:val="22"/>
              </w:rPr>
              <w:t>taff are no</w:t>
            </w:r>
            <w:r>
              <w:rPr>
                <w:rFonts w:cs="Calibri"/>
                <w:sz w:val="22"/>
              </w:rPr>
              <w:t xml:space="preserve">w protected from discrimination </w:t>
            </w:r>
            <w:r w:rsidRPr="009C51CF">
              <w:rPr>
                <w:rFonts w:cs="Calibri"/>
                <w:sz w:val="22"/>
              </w:rPr>
              <w:t xml:space="preserve">that arises because they are perceived to be or if they are associated with a person of a particular age group. 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Use of the Default Retirement Age was abolished from 1 October 2011 in England, Scotland, Wales and Northern Ireland.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>This means that it is no longer possible to compulsorily retire employees.</w:t>
            </w:r>
          </w:p>
        </w:tc>
        <w:tc>
          <w:tcPr>
            <w:tcW w:w="4252" w:type="dxa"/>
          </w:tcPr>
          <w:p w:rsidR="00ED2432" w:rsidRPr="009C51CF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Decisions on </w:t>
            </w:r>
            <w:r w:rsidRPr="009C51CF">
              <w:rPr>
                <w:rFonts w:cs="Calibri"/>
                <w:sz w:val="22"/>
              </w:rPr>
              <w:t xml:space="preserve">selection </w:t>
            </w:r>
            <w:r>
              <w:rPr>
                <w:rFonts w:cs="Calibri"/>
                <w:sz w:val="22"/>
              </w:rPr>
              <w:t xml:space="preserve">of outputs </w:t>
            </w:r>
            <w:r w:rsidRPr="009C51CF">
              <w:rPr>
                <w:rFonts w:cs="Calibri"/>
                <w:sz w:val="22"/>
              </w:rPr>
              <w:t xml:space="preserve">should not be affected by staff members’ </w:t>
            </w:r>
            <w:r>
              <w:rPr>
                <w:rFonts w:cs="Calibri"/>
                <w:sz w:val="22"/>
              </w:rPr>
              <w:t>age</w:t>
            </w:r>
            <w:r w:rsidRPr="009C51CF">
              <w:rPr>
                <w:rFonts w:cs="Calibri"/>
                <w:sz w:val="22"/>
              </w:rPr>
              <w:t xml:space="preserve">.  Selection should be made on the basis of the quality of their research </w:t>
            </w:r>
            <w:r>
              <w:rPr>
                <w:rFonts w:cs="Calibri"/>
                <w:sz w:val="22"/>
              </w:rPr>
              <w:t xml:space="preserve">(i.e. internal and external reviewer star ratings) </w:t>
            </w:r>
            <w:r w:rsidRPr="009C51CF">
              <w:rPr>
                <w:rFonts w:cs="Calibri"/>
                <w:sz w:val="22"/>
              </w:rPr>
              <w:t>only.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</w:t>
            </w:r>
            <w:r>
              <w:rPr>
                <w:rFonts w:cs="Calibri"/>
                <w:sz w:val="22"/>
              </w:rPr>
              <w:t xml:space="preserve">meets the criteria for selection described in the institution’s Code of Practice </w:t>
            </w:r>
            <w:r w:rsidRPr="009C51CF">
              <w:rPr>
                <w:rFonts w:cs="Calibri"/>
                <w:sz w:val="22"/>
              </w:rPr>
              <w:t xml:space="preserve">an HEI will not be able to justify not submitting them because of their age group, perceived age group or association with someone of a particular age group.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33"/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Pr="009C51CF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Staff with responsibilities for older dependents or children may be entitled to a reduction in outputs.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Early career researchers can come from a range of age groups.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>The definition of early career researcher used in the REF is not limited to young people.</w:t>
            </w:r>
          </w:p>
          <w:p w:rsidR="00ED2432" w:rsidRDefault="00ED2432" w:rsidP="00ED2432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</w:tc>
      </w:tr>
      <w:tr w:rsidR="00ED2432" w:rsidRPr="009C51CF" w:rsidTr="00ED2432">
        <w:tc>
          <w:tcPr>
            <w:tcW w:w="1526" w:type="dxa"/>
          </w:tcPr>
          <w:p w:rsidR="00ED2432" w:rsidRPr="00940B33" w:rsidRDefault="00ED2432" w:rsidP="00ED2432">
            <w:pPr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Disability</w:t>
            </w:r>
          </w:p>
        </w:tc>
        <w:tc>
          <w:tcPr>
            <w:tcW w:w="4252" w:type="dxa"/>
          </w:tcPr>
          <w:p w:rsidR="00ED2432" w:rsidRPr="009C51CF" w:rsidRDefault="00ED2432" w:rsidP="00ED2432">
            <w:pPr>
              <w:rPr>
                <w:rFonts w:cs="Calibri"/>
                <w:b/>
                <w:sz w:val="22"/>
              </w:rPr>
            </w:pPr>
            <w:r w:rsidRPr="009C51CF">
              <w:rPr>
                <w:rFonts w:cs="Calibri"/>
                <w:b/>
                <w:sz w:val="22"/>
              </w:rPr>
              <w:t>The Equality Act 2010, prevent</w:t>
            </w:r>
            <w:r>
              <w:rPr>
                <w:rFonts w:cs="Calibri"/>
                <w:b/>
                <w:sz w:val="22"/>
              </w:rPr>
              <w:t>s</w:t>
            </w:r>
            <w:r w:rsidRPr="009C51CF">
              <w:rPr>
                <w:rFonts w:cs="Calibri"/>
                <w:b/>
                <w:sz w:val="22"/>
              </w:rPr>
              <w:t xml:space="preserve"> unlawful discrimination relating to disability. 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A person is considered to be disabled if they have or have had a physical and/or mental impairment which has ‘a substantial and long-term adverse effect on their ability to carry out normal day-to-day activities’.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 xml:space="preserve">Long-term impairments include those that last or are likely to last for at least 12 months. </w:t>
            </w:r>
          </w:p>
          <w:p w:rsidR="00ED2432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Equality law requires HEIs to make reasonable adjustments for disabled employees.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 xml:space="preserve">Failure to make a reasonable adjustment constitutes discrimination. </w:t>
            </w:r>
          </w:p>
          <w:p w:rsidR="00ED2432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>Normal day-to-day activities are taken to mean activi</w:t>
            </w:r>
            <w:r>
              <w:rPr>
                <w:rFonts w:cs="Calibri"/>
                <w:sz w:val="22"/>
              </w:rPr>
              <w:t xml:space="preserve">ties that people </w:t>
            </w:r>
            <w:r w:rsidRPr="009C51CF">
              <w:rPr>
                <w:rFonts w:cs="Calibri"/>
                <w:sz w:val="22"/>
              </w:rPr>
              <w:t xml:space="preserve">carry out on a daily or frequent basis.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>For example, using a computer.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Staff are protected if they are perceived to have a disability or if they are associated with a person who is disabled.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>For example, if they are responsible for caring for a disabled family member.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Decisions on </w:t>
            </w:r>
            <w:r w:rsidRPr="009C51CF">
              <w:rPr>
                <w:rFonts w:cs="Calibri"/>
                <w:sz w:val="22"/>
              </w:rPr>
              <w:t xml:space="preserve">selection </w:t>
            </w:r>
            <w:r>
              <w:rPr>
                <w:rFonts w:cs="Calibri"/>
                <w:sz w:val="22"/>
              </w:rPr>
              <w:t xml:space="preserve">of outputs </w:t>
            </w:r>
            <w:r w:rsidRPr="009C51CF">
              <w:rPr>
                <w:rFonts w:cs="Calibri"/>
                <w:sz w:val="22"/>
              </w:rPr>
              <w:t xml:space="preserve">should not be affected by staff members’ impairment or perceived impairment.  Selection should be made on the basis of the quality of their research </w:t>
            </w:r>
            <w:r>
              <w:rPr>
                <w:rFonts w:cs="Calibri"/>
                <w:sz w:val="22"/>
              </w:rPr>
              <w:t xml:space="preserve">(i.e. internal and external reviewer star ratings) </w:t>
            </w:r>
            <w:r w:rsidRPr="009C51CF">
              <w:rPr>
                <w:rFonts w:cs="Calibri"/>
                <w:sz w:val="22"/>
              </w:rPr>
              <w:t>only.</w:t>
            </w:r>
          </w:p>
          <w:p w:rsidR="00ED2432" w:rsidRPr="00B60850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</w:t>
            </w:r>
            <w:r>
              <w:rPr>
                <w:rFonts w:cs="Calibri"/>
                <w:sz w:val="22"/>
              </w:rPr>
              <w:t xml:space="preserve">meets the criteria for selection described in the institution’s Code of Practice </w:t>
            </w:r>
            <w:r w:rsidRPr="009C51CF">
              <w:rPr>
                <w:rFonts w:cs="Calibri"/>
                <w:sz w:val="22"/>
              </w:rPr>
              <w:t xml:space="preserve">an HEI will not be able to justify not </w:t>
            </w:r>
            <w:r>
              <w:rPr>
                <w:rFonts w:cs="Calibri"/>
                <w:sz w:val="22"/>
              </w:rPr>
              <w:t xml:space="preserve">submitting them because of </w:t>
            </w:r>
            <w:r w:rsidRPr="009C51CF">
              <w:rPr>
                <w:rFonts w:cs="Calibri"/>
                <w:sz w:val="22"/>
              </w:rPr>
              <w:t xml:space="preserve">staff members’ impairment or perceived impairment.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>Assumptions should not be made as to whether or not a member of staff has an impairment.</w:t>
            </w:r>
          </w:p>
          <w:p w:rsidR="00ED2432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Reasonable adjustments should be made to ensure that disabled staff can produce research outputs.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Pr="009C51CF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Carers of disabled people may be entitled to submit a reduced number of outputs if their caring responsibilities have affected their quantity of research outputs.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disabled researcher’s impairment has affected the quantity of their research outputs, they may be eligible to submit a reduced number of outputs. </w:t>
            </w:r>
          </w:p>
          <w:p w:rsidR="00ED2432" w:rsidRDefault="00ED2432" w:rsidP="0044120F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</w:tc>
      </w:tr>
      <w:tr w:rsidR="00ED2432" w:rsidRPr="009C51CF" w:rsidTr="00ED2432">
        <w:tc>
          <w:tcPr>
            <w:tcW w:w="1526" w:type="dxa"/>
          </w:tcPr>
          <w:p w:rsidR="00ED2432" w:rsidRPr="00940B33" w:rsidRDefault="00ED2432" w:rsidP="00ED2432">
            <w:pPr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Gender reassignment</w:t>
            </w:r>
          </w:p>
        </w:tc>
        <w:tc>
          <w:tcPr>
            <w:tcW w:w="4252" w:type="dxa"/>
          </w:tcPr>
          <w:p w:rsidR="00ED2432" w:rsidRPr="009C51CF" w:rsidRDefault="00ED2432" w:rsidP="00ED2432">
            <w:pPr>
              <w:rPr>
                <w:rFonts w:cs="Calibri"/>
                <w:b/>
                <w:sz w:val="22"/>
              </w:rPr>
            </w:pPr>
            <w:r w:rsidRPr="009C51CF">
              <w:rPr>
                <w:rFonts w:cs="Calibri"/>
                <w:b/>
                <w:sz w:val="22"/>
              </w:rPr>
              <w:t>The Equality Act 2010 protect</w:t>
            </w:r>
            <w:r>
              <w:rPr>
                <w:rFonts w:cs="Calibri"/>
                <w:b/>
                <w:sz w:val="22"/>
              </w:rPr>
              <w:t>s</w:t>
            </w:r>
            <w:r w:rsidRPr="009C51CF">
              <w:rPr>
                <w:rFonts w:cs="Calibri"/>
                <w:b/>
                <w:sz w:val="22"/>
              </w:rPr>
              <w:t xml:space="preserve"> from discrimination trans people who have proposed, started or completed a process to change their sex. </w:t>
            </w:r>
          </w:p>
          <w:p w:rsidR="00ED2432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>The Gender Recognition Act 2004 gave enhanced privacy rights to trans people who undergo gender reassignment.</w:t>
            </w:r>
          </w:p>
          <w:p w:rsidR="00ED2432" w:rsidRDefault="00ED2432" w:rsidP="00ED2432">
            <w:p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S</w:t>
            </w:r>
            <w:r w:rsidRPr="009C51CF">
              <w:rPr>
                <w:rFonts w:cs="Calibri"/>
                <w:sz w:val="22"/>
              </w:rPr>
              <w:t xml:space="preserve">taff do not have to be under medical supervision to be protected from discrimination because of gender reassignment. </w:t>
            </w:r>
          </w:p>
          <w:p w:rsidR="00ED2432" w:rsidRPr="00B60850" w:rsidRDefault="00ED2432" w:rsidP="00ED2432">
            <w:p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S</w:t>
            </w:r>
            <w:r w:rsidRPr="009C51CF">
              <w:rPr>
                <w:rFonts w:cs="Calibri"/>
                <w:sz w:val="22"/>
              </w:rPr>
              <w:t xml:space="preserve">taff are also protected if they are perceived to be undergoing or have undergone gender reassignment.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>They are also protected if they are associated with someone who has proposed, is undergoing or has undergone gender reassignment.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Pr="009C51CF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Decisions on selection </w:t>
            </w:r>
            <w:r>
              <w:rPr>
                <w:rFonts w:cs="Calibri"/>
                <w:sz w:val="22"/>
              </w:rPr>
              <w:t xml:space="preserve">of outputs </w:t>
            </w:r>
            <w:r w:rsidRPr="009C51CF">
              <w:rPr>
                <w:rFonts w:cs="Calibri"/>
                <w:sz w:val="22"/>
              </w:rPr>
              <w:t xml:space="preserve">should not be affected by staff members’ gender reassignment status, perceived status or association with someone undergoing gender reassignment.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>Selection should be made on the basis of the quality of their research only.</w:t>
            </w:r>
          </w:p>
          <w:p w:rsidR="00ED2432" w:rsidRPr="00B60850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</w:t>
            </w:r>
            <w:r>
              <w:rPr>
                <w:rFonts w:cs="Calibri"/>
                <w:sz w:val="22"/>
              </w:rPr>
              <w:t xml:space="preserve">meets the criteria for selection described in the institution’s Code of Practice </w:t>
            </w:r>
            <w:r w:rsidRPr="009C51CF">
              <w:rPr>
                <w:rFonts w:cs="Calibri"/>
                <w:sz w:val="22"/>
              </w:rPr>
              <w:t xml:space="preserve">an HEI will not be able to justify not </w:t>
            </w:r>
            <w:r>
              <w:rPr>
                <w:rFonts w:cs="Calibri"/>
                <w:sz w:val="22"/>
              </w:rPr>
              <w:t xml:space="preserve">submitting them because of </w:t>
            </w:r>
            <w:r w:rsidRPr="009C51CF">
              <w:rPr>
                <w:rFonts w:cs="Calibri"/>
                <w:sz w:val="22"/>
              </w:rPr>
              <w:t>staff members’ gender reassignment status, perceived status or association with someone undergoing gender reassignment.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>If you acquire information about a person’s status as a transsexual person in an official capacity e</w:t>
            </w:r>
            <w:r>
              <w:rPr>
                <w:rFonts w:cs="Calibri"/>
                <w:sz w:val="22"/>
              </w:rPr>
              <w:t>.</w:t>
            </w:r>
            <w:r w:rsidRPr="009C51CF">
              <w:rPr>
                <w:rFonts w:cs="Calibri"/>
                <w:sz w:val="22"/>
              </w:rPr>
              <w:t xml:space="preserve">g. when selecting staff for submission to the REF, it is a criminal offence to pass the information to a third party without consent.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 xml:space="preserve">Consequently, you must ensure that information you receive about gender reassignment is kept confidential. 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8"/>
              </w:num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Staff whose ability to work productively during the REF assessment period due to gender reassignment may be eligible to be submitted with a reduced number of research outputs. </w:t>
            </w:r>
          </w:p>
          <w:p w:rsidR="00ED2432" w:rsidRDefault="00ED2432" w:rsidP="00ED2432">
            <w:pPr>
              <w:pStyle w:val="ListBullet"/>
              <w:numPr>
                <w:ilvl w:val="0"/>
                <w:numId w:val="8"/>
              </w:num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Not all staff who were undergoing gender reassignment during the REF period will have medical evidence of transition. 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360"/>
              <w:rPr>
                <w:rFonts w:cs="Calibri"/>
                <w:sz w:val="22"/>
              </w:rPr>
            </w:pPr>
          </w:p>
          <w:p w:rsidR="00ED2432" w:rsidRPr="009C51CF" w:rsidRDefault="00ED2432" w:rsidP="0044120F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</w:tc>
      </w:tr>
      <w:tr w:rsidR="00ED2432" w:rsidRPr="009C51CF" w:rsidTr="00ED2432">
        <w:tc>
          <w:tcPr>
            <w:tcW w:w="1526" w:type="dxa"/>
          </w:tcPr>
          <w:p w:rsidR="00ED2432" w:rsidRPr="00940B33" w:rsidRDefault="00ED2432" w:rsidP="00ED2432">
            <w:pPr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Marital or civil partnership status</w:t>
            </w:r>
          </w:p>
        </w:tc>
        <w:tc>
          <w:tcPr>
            <w:tcW w:w="4252" w:type="dxa"/>
          </w:tcPr>
          <w:p w:rsidR="00ED2432" w:rsidRPr="009C51CF" w:rsidRDefault="00ED2432" w:rsidP="00ED2432">
            <w:pPr>
              <w:rPr>
                <w:rFonts w:cs="Calibri"/>
                <w:b/>
                <w:sz w:val="22"/>
              </w:rPr>
            </w:pPr>
            <w:r w:rsidRPr="009C51CF">
              <w:rPr>
                <w:rFonts w:cs="Calibri"/>
                <w:b/>
                <w:sz w:val="22"/>
              </w:rPr>
              <w:t xml:space="preserve">Under the Equality Act 2010 individuals are protected from unlawful discrimination on the grounds of marriage and civil partnership status. </w:t>
            </w:r>
          </w:p>
          <w:p w:rsidR="00ED2432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>The protection from discrimination does not apply to single people.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Decisions on </w:t>
            </w:r>
            <w:r w:rsidRPr="009C51CF">
              <w:rPr>
                <w:rFonts w:cs="Calibri"/>
                <w:sz w:val="22"/>
              </w:rPr>
              <w:t xml:space="preserve">selection </w:t>
            </w:r>
            <w:r>
              <w:rPr>
                <w:rFonts w:cs="Calibri"/>
                <w:sz w:val="22"/>
              </w:rPr>
              <w:t xml:space="preserve">of outputs </w:t>
            </w:r>
            <w:r w:rsidRPr="009C51CF">
              <w:rPr>
                <w:rFonts w:cs="Calibri"/>
                <w:sz w:val="22"/>
              </w:rPr>
              <w:t xml:space="preserve">should not be affected by staff members’ marital or civil partnership status.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 xml:space="preserve">  Selection should be made on the basis of the quality of their research </w:t>
            </w:r>
            <w:r>
              <w:rPr>
                <w:rFonts w:cs="Calibri"/>
                <w:sz w:val="22"/>
              </w:rPr>
              <w:t xml:space="preserve">(i.e. internal and external reviewer star ratings) </w:t>
            </w:r>
            <w:r w:rsidRPr="009C51CF">
              <w:rPr>
                <w:rFonts w:cs="Calibri"/>
                <w:sz w:val="22"/>
              </w:rPr>
              <w:t>only.</w:t>
            </w:r>
          </w:p>
          <w:p w:rsidR="00ED2432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</w:t>
            </w:r>
            <w:r>
              <w:rPr>
                <w:rFonts w:cs="Calibri"/>
                <w:sz w:val="22"/>
              </w:rPr>
              <w:t xml:space="preserve">meets the criteria for selection described in the institution’s Code of Practice </w:t>
            </w:r>
            <w:r w:rsidRPr="009C51CF">
              <w:rPr>
                <w:rFonts w:cs="Calibri"/>
                <w:sz w:val="22"/>
              </w:rPr>
              <w:t xml:space="preserve">an HEI will not be able to justify not </w:t>
            </w:r>
            <w:r>
              <w:rPr>
                <w:rFonts w:cs="Calibri"/>
                <w:sz w:val="22"/>
              </w:rPr>
              <w:t xml:space="preserve">submitting them because of </w:t>
            </w:r>
            <w:r w:rsidRPr="009C51CF">
              <w:rPr>
                <w:rFonts w:cs="Calibri"/>
                <w:sz w:val="22"/>
              </w:rPr>
              <w:t>staff members’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>marital or civil partnership status</w:t>
            </w:r>
            <w:r>
              <w:rPr>
                <w:rFonts w:cs="Calibri"/>
                <w:sz w:val="22"/>
              </w:rPr>
              <w:t>.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</w:tc>
      </w:tr>
      <w:tr w:rsidR="00ED2432" w:rsidRPr="009C51CF" w:rsidTr="00ED2432">
        <w:tc>
          <w:tcPr>
            <w:tcW w:w="1526" w:type="dxa"/>
          </w:tcPr>
          <w:p w:rsidR="00ED2432" w:rsidRPr="00940B33" w:rsidRDefault="00ED2432" w:rsidP="00ED2432">
            <w:pPr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Pregnancy, maternity, paternity and adoption</w:t>
            </w:r>
          </w:p>
        </w:tc>
        <w:tc>
          <w:tcPr>
            <w:tcW w:w="4252" w:type="dxa"/>
          </w:tcPr>
          <w:p w:rsidR="00ED2432" w:rsidRPr="009C51CF" w:rsidRDefault="00ED2432" w:rsidP="00ED2432">
            <w:pPr>
              <w:rPr>
                <w:rFonts w:cs="Calibri"/>
                <w:b/>
                <w:sz w:val="22"/>
              </w:rPr>
            </w:pPr>
            <w:r w:rsidRPr="009C51CF">
              <w:rPr>
                <w:rFonts w:cs="Calibri"/>
                <w:b/>
                <w:sz w:val="22"/>
              </w:rPr>
              <w:t xml:space="preserve">Under the Equality Act 2010 women are protected from unlawful discrimination related to pregnancy and maternity. 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eastAsia="Times New Roman" w:cs="Calibri"/>
                <w:kern w:val="36"/>
                <w:sz w:val="22"/>
                <w:lang w:eastAsia="en-GB"/>
              </w:rPr>
              <w:t>Work and Families Act 2006 give</w:t>
            </w:r>
            <w:r>
              <w:rPr>
                <w:rFonts w:eastAsia="Times New Roman" w:cs="Calibri"/>
                <w:kern w:val="36"/>
                <w:sz w:val="22"/>
                <w:lang w:eastAsia="en-GB"/>
              </w:rPr>
              <w:t>s</w:t>
            </w:r>
            <w:r w:rsidRPr="009C51CF">
              <w:rPr>
                <w:rFonts w:eastAsia="Times New Roman" w:cs="Calibri"/>
                <w:kern w:val="36"/>
                <w:sz w:val="22"/>
                <w:lang w:eastAsia="en-GB"/>
              </w:rPr>
              <w:t xml:space="preserve"> adopters of children entitlements to statutory and additional adoption leave and partners of new mothers entitlements to additional paternity leave. </w:t>
            </w:r>
          </w:p>
          <w:p w:rsidR="00ED2432" w:rsidRPr="006B03EA" w:rsidRDefault="00ED2432" w:rsidP="00ED2432">
            <w:pPr>
              <w:rPr>
                <w:rFonts w:eastAsia="Times New Roman" w:cs="Calibri"/>
                <w:kern w:val="36"/>
                <w:sz w:val="22"/>
                <w:lang w:eastAsia="en-GB"/>
              </w:rPr>
            </w:pPr>
            <w:r w:rsidRPr="006B03EA">
              <w:rPr>
                <w:rFonts w:eastAsia="Times New Roman" w:cs="Calibri"/>
                <w:kern w:val="36"/>
                <w:sz w:val="22"/>
                <w:lang w:eastAsia="en-GB"/>
              </w:rPr>
              <w:t xml:space="preserve">New paternity leave entitlements for partners of new mothers were introduced in April 2011 that enable them to take up to six months’ additional paternity. </w:t>
            </w:r>
          </w:p>
          <w:p w:rsidR="00ED2432" w:rsidRDefault="00ED2432" w:rsidP="00ED2432">
            <w:pPr>
              <w:rPr>
                <w:rFonts w:eastAsia="Times New Roman" w:cs="Calibri"/>
                <w:kern w:val="36"/>
                <w:sz w:val="22"/>
                <w:lang w:eastAsia="en-GB"/>
              </w:rPr>
            </w:pPr>
            <w:r w:rsidRPr="006B03EA">
              <w:rPr>
                <w:rFonts w:eastAsia="Times New Roman" w:cs="Calibri"/>
                <w:kern w:val="36"/>
                <w:sz w:val="22"/>
                <w:lang w:eastAsia="en-GB"/>
              </w:rPr>
              <w:t>Entitlements to six months’ additional adoption leave were also introduced from April 2011.</w:t>
            </w:r>
          </w:p>
          <w:p w:rsidR="00ED2432" w:rsidRPr="006B03EA" w:rsidRDefault="00ED2432" w:rsidP="00ED2432">
            <w:pPr>
              <w:rPr>
                <w:rFonts w:eastAsia="Times New Roman" w:cs="Calibri"/>
                <w:kern w:val="36"/>
                <w:sz w:val="22"/>
                <w:lang w:eastAsia="en-GB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Decisions on </w:t>
            </w:r>
            <w:r w:rsidRPr="009C51CF">
              <w:rPr>
                <w:rFonts w:cs="Calibri"/>
                <w:sz w:val="22"/>
              </w:rPr>
              <w:t xml:space="preserve">selection </w:t>
            </w:r>
            <w:r>
              <w:rPr>
                <w:rFonts w:cs="Calibri"/>
                <w:sz w:val="22"/>
              </w:rPr>
              <w:t xml:space="preserve">of outputs </w:t>
            </w:r>
            <w:r w:rsidRPr="009C51CF">
              <w:rPr>
                <w:rFonts w:cs="Calibri"/>
                <w:sz w:val="22"/>
              </w:rPr>
              <w:t xml:space="preserve">should not be affected by staff members’ pregnancy or their having taken maternity </w:t>
            </w:r>
            <w:r>
              <w:rPr>
                <w:rFonts w:cs="Calibri"/>
                <w:sz w:val="22"/>
              </w:rPr>
              <w:t>or adoption leave</w:t>
            </w:r>
            <w:r w:rsidRPr="009C51CF">
              <w:rPr>
                <w:rFonts w:cs="Calibri"/>
                <w:sz w:val="22"/>
              </w:rPr>
              <w:t xml:space="preserve">.  Selection should be made on the basis of the quality of their research </w:t>
            </w:r>
            <w:r>
              <w:rPr>
                <w:rFonts w:cs="Calibri"/>
                <w:sz w:val="22"/>
              </w:rPr>
              <w:t xml:space="preserve">(i.e. internal and external reviewer star ratings) </w:t>
            </w:r>
            <w:r w:rsidRPr="009C51CF">
              <w:rPr>
                <w:rFonts w:cs="Calibri"/>
                <w:sz w:val="22"/>
              </w:rPr>
              <w:t>only.</w:t>
            </w:r>
          </w:p>
          <w:p w:rsidR="00ED2432" w:rsidRPr="00B60850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</w:t>
            </w:r>
            <w:r>
              <w:rPr>
                <w:rFonts w:cs="Calibri"/>
                <w:sz w:val="22"/>
              </w:rPr>
              <w:t xml:space="preserve">meets the criteria for selection described in the institution’s Code of Practice </w:t>
            </w:r>
            <w:r w:rsidRPr="009C51CF">
              <w:rPr>
                <w:rFonts w:cs="Calibri"/>
                <w:sz w:val="22"/>
              </w:rPr>
              <w:t xml:space="preserve">an HEI will not be able to justify not </w:t>
            </w:r>
            <w:r>
              <w:rPr>
                <w:rFonts w:cs="Calibri"/>
                <w:sz w:val="22"/>
              </w:rPr>
              <w:t xml:space="preserve">submitting them because of </w:t>
            </w:r>
            <w:r w:rsidRPr="009C51CF">
              <w:rPr>
                <w:rFonts w:cs="Calibri"/>
                <w:sz w:val="22"/>
              </w:rPr>
              <w:t xml:space="preserve">staff members’ pregnancy or their having taken maternity or adoption leave. 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 xml:space="preserve">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Staff who are on maternity leave or adopt a child should not be overlooked during an HEI’s submissions process.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has taken time out of work because of their pregnancy or they have taken maternity or adoption leave they may be eligible </w:t>
            </w:r>
            <w:r>
              <w:rPr>
                <w:rFonts w:cs="Calibri"/>
                <w:sz w:val="22"/>
              </w:rPr>
              <w:t xml:space="preserve">to be </w:t>
            </w:r>
            <w:r w:rsidRPr="009C51CF">
              <w:rPr>
                <w:rFonts w:cs="Calibri"/>
                <w:sz w:val="22"/>
              </w:rPr>
              <w:t>submitted with a reduced number of research outputs.</w:t>
            </w:r>
          </w:p>
          <w:p w:rsidR="00ED2432" w:rsidRDefault="00ED2432" w:rsidP="00ED2432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</w:tc>
      </w:tr>
      <w:tr w:rsidR="00ED2432" w:rsidRPr="009C51CF" w:rsidTr="00ED2432">
        <w:tc>
          <w:tcPr>
            <w:tcW w:w="1526" w:type="dxa"/>
          </w:tcPr>
          <w:p w:rsidR="00ED2432" w:rsidRPr="00940B33" w:rsidRDefault="00ED2432" w:rsidP="00ED2432">
            <w:pPr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Race</w:t>
            </w:r>
          </w:p>
        </w:tc>
        <w:tc>
          <w:tcPr>
            <w:tcW w:w="4252" w:type="dxa"/>
          </w:tcPr>
          <w:p w:rsidR="00ED2432" w:rsidRDefault="00ED2432" w:rsidP="00ED2432">
            <w:pPr>
              <w:rPr>
                <w:rFonts w:cs="Calibri"/>
                <w:b/>
                <w:sz w:val="22"/>
              </w:rPr>
            </w:pPr>
            <w:r w:rsidRPr="009C51CF">
              <w:rPr>
                <w:rFonts w:cs="Calibri"/>
                <w:b/>
                <w:sz w:val="22"/>
              </w:rPr>
              <w:t>The Equality Act 2010 protect</w:t>
            </w:r>
            <w:r>
              <w:rPr>
                <w:rFonts w:cs="Calibri"/>
                <w:b/>
                <w:sz w:val="22"/>
              </w:rPr>
              <w:t>s</w:t>
            </w:r>
            <w:r w:rsidRPr="009C51CF">
              <w:rPr>
                <w:rFonts w:cs="Calibri"/>
                <w:b/>
                <w:sz w:val="22"/>
              </w:rPr>
              <w:t xml:space="preserve"> HEI staff from unlawful discrimination connected to race. </w:t>
            </w:r>
            <w:r>
              <w:rPr>
                <w:rFonts w:cs="Calibri"/>
                <w:b/>
                <w:sz w:val="22"/>
              </w:rPr>
              <w:t xml:space="preserve"> </w:t>
            </w:r>
            <w:r w:rsidRPr="009C51CF">
              <w:rPr>
                <w:rFonts w:cs="Calibri"/>
                <w:b/>
                <w:sz w:val="22"/>
              </w:rPr>
              <w:t xml:space="preserve">The definition of race includes colour, ethnic or national origins or nationality.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3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>In England, Scotland and Wales, staff are also protected if they are perceived to be or are associated with a person of a particular race.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Decisions on </w:t>
            </w:r>
            <w:r w:rsidRPr="009C51CF">
              <w:rPr>
                <w:rFonts w:cs="Calibri"/>
                <w:sz w:val="22"/>
              </w:rPr>
              <w:t xml:space="preserve">selection </w:t>
            </w:r>
            <w:r>
              <w:rPr>
                <w:rFonts w:cs="Calibri"/>
                <w:sz w:val="22"/>
              </w:rPr>
              <w:t xml:space="preserve">of outputs </w:t>
            </w:r>
            <w:r w:rsidRPr="009C51CF">
              <w:rPr>
                <w:rFonts w:cs="Calibri"/>
                <w:sz w:val="22"/>
              </w:rPr>
              <w:t>should not be affected by staff members’ ethnicity, their perceived ethnicity or association with so</w:t>
            </w:r>
            <w:r>
              <w:rPr>
                <w:rFonts w:cs="Calibri"/>
                <w:sz w:val="22"/>
              </w:rPr>
              <w:t>meone of a particular ethnicity e.g.</w:t>
            </w:r>
            <w:r w:rsidRPr="009C51CF">
              <w:rPr>
                <w:rFonts w:cs="Calibri"/>
                <w:sz w:val="22"/>
              </w:rPr>
              <w:t xml:space="preserve"> because research outputs are no</w:t>
            </w:r>
            <w:r>
              <w:rPr>
                <w:rFonts w:cs="Calibri"/>
                <w:sz w:val="22"/>
              </w:rPr>
              <w:t>t in English (</w:t>
            </w:r>
            <w:r w:rsidR="002958A5">
              <w:rPr>
                <w:rFonts w:cs="Calibri"/>
                <w:sz w:val="22"/>
              </w:rPr>
              <w:t>See paragraphs 285-287</w:t>
            </w:r>
            <w:r w:rsidRPr="00B2352B">
              <w:rPr>
                <w:rFonts w:cs="Calibri"/>
                <w:sz w:val="22"/>
              </w:rPr>
              <w:t xml:space="preserve"> of the REF 2021 guidance on submissions</w:t>
            </w:r>
            <w:r>
              <w:rPr>
                <w:rFonts w:cs="Calibri"/>
                <w:sz w:val="22"/>
              </w:rPr>
              <w:t>)</w:t>
            </w:r>
            <w:r w:rsidRPr="009C51CF">
              <w:rPr>
                <w:rFonts w:cs="Calibri"/>
                <w:sz w:val="22"/>
              </w:rPr>
              <w:t xml:space="preserve">.  Selection should be made on the basis of the quality of their research </w:t>
            </w:r>
            <w:r>
              <w:rPr>
                <w:rFonts w:cs="Calibri"/>
                <w:sz w:val="22"/>
              </w:rPr>
              <w:t xml:space="preserve">(i.e. internal and external reviewer star ratings) </w:t>
            </w:r>
            <w:r w:rsidRPr="009C51CF">
              <w:rPr>
                <w:rFonts w:cs="Calibri"/>
                <w:sz w:val="22"/>
              </w:rPr>
              <w:t>only.</w:t>
            </w:r>
          </w:p>
          <w:p w:rsidR="00ED2432" w:rsidRPr="00B60850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</w:t>
            </w:r>
            <w:r>
              <w:rPr>
                <w:rFonts w:cs="Calibri"/>
                <w:sz w:val="22"/>
              </w:rPr>
              <w:t xml:space="preserve">meets the criteria for selection described in the institution’s Code of Practice </w:t>
            </w:r>
            <w:r w:rsidRPr="009C51CF">
              <w:rPr>
                <w:rFonts w:cs="Calibri"/>
                <w:sz w:val="22"/>
              </w:rPr>
              <w:t xml:space="preserve">an HEI will not be able to justify not </w:t>
            </w:r>
            <w:r>
              <w:rPr>
                <w:rFonts w:cs="Calibri"/>
                <w:sz w:val="22"/>
              </w:rPr>
              <w:t xml:space="preserve">submitting them because of </w:t>
            </w:r>
            <w:r w:rsidRPr="009C51CF">
              <w:rPr>
                <w:rFonts w:cs="Calibri"/>
                <w:sz w:val="22"/>
              </w:rPr>
              <w:t>staff members’ ethnicity, their perceived ethnicity or association with so</w:t>
            </w:r>
            <w:r>
              <w:rPr>
                <w:rFonts w:cs="Calibri"/>
                <w:sz w:val="22"/>
              </w:rPr>
              <w:t>meone of a particular ethnicity.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317" w:hanging="284"/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</w:tc>
      </w:tr>
      <w:tr w:rsidR="00ED2432" w:rsidRPr="009C51CF" w:rsidTr="00ED2432">
        <w:tc>
          <w:tcPr>
            <w:tcW w:w="1526" w:type="dxa"/>
          </w:tcPr>
          <w:p w:rsidR="00ED2432" w:rsidRPr="00940B33" w:rsidRDefault="00ED2432" w:rsidP="00ED2432">
            <w:pPr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Religion and belief</w:t>
            </w:r>
          </w:p>
        </w:tc>
        <w:tc>
          <w:tcPr>
            <w:tcW w:w="4252" w:type="dxa"/>
          </w:tcPr>
          <w:p w:rsidR="00ED2432" w:rsidRPr="009C51CF" w:rsidRDefault="00ED2432" w:rsidP="00ED2432">
            <w:pPr>
              <w:rPr>
                <w:rFonts w:cs="Calibri"/>
                <w:b/>
                <w:sz w:val="22"/>
              </w:rPr>
            </w:pPr>
            <w:r w:rsidRPr="009C51CF">
              <w:rPr>
                <w:rFonts w:cs="Calibri"/>
                <w:b/>
                <w:sz w:val="22"/>
              </w:rPr>
              <w:t>The Equality Act 2010 protect</w:t>
            </w:r>
            <w:r>
              <w:rPr>
                <w:rFonts w:cs="Calibri"/>
                <w:b/>
                <w:sz w:val="22"/>
              </w:rPr>
              <w:t>s</w:t>
            </w:r>
            <w:r w:rsidRPr="009C51CF">
              <w:rPr>
                <w:rFonts w:cs="Calibri"/>
                <w:b/>
                <w:sz w:val="22"/>
              </w:rPr>
              <w:t xml:space="preserve"> HEI staff from unlawful discrimination to do with religion or belief. </w:t>
            </w:r>
          </w:p>
          <w:p w:rsidR="00ED2432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>‘Belief’ includes any structured philosophical belief with clear values that has an effect on how its adherents conduct their lives.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3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In England, Scotland and Wales, staff are also protected if they are perceived to be or are associated with a person of a particular religion or belief. 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Decisions on </w:t>
            </w:r>
            <w:r w:rsidRPr="009C51CF">
              <w:rPr>
                <w:rFonts w:cs="Calibri"/>
                <w:sz w:val="22"/>
              </w:rPr>
              <w:t xml:space="preserve">selection </w:t>
            </w:r>
            <w:r>
              <w:rPr>
                <w:rFonts w:cs="Calibri"/>
                <w:sz w:val="22"/>
              </w:rPr>
              <w:t xml:space="preserve">of outputs </w:t>
            </w:r>
            <w:r w:rsidRPr="009C51CF">
              <w:rPr>
                <w:rFonts w:cs="Calibri"/>
                <w:sz w:val="22"/>
              </w:rPr>
              <w:t>should not be affected by staff members’ re</w:t>
            </w:r>
            <w:r>
              <w:rPr>
                <w:rFonts w:cs="Calibri"/>
                <w:sz w:val="22"/>
              </w:rPr>
              <w:t>ligion or belief (including non-</w:t>
            </w:r>
            <w:r w:rsidRPr="009C51CF">
              <w:rPr>
                <w:rFonts w:cs="Calibri"/>
                <w:sz w:val="22"/>
              </w:rPr>
              <w:t xml:space="preserve">belief), their perceived religion or belief or their association with someone of a particular religion or belief. </w:t>
            </w:r>
            <w:r>
              <w:rPr>
                <w:rFonts w:cs="Calibri"/>
                <w:sz w:val="22"/>
              </w:rPr>
              <w:t xml:space="preserve"> S</w:t>
            </w:r>
            <w:r w:rsidRPr="009C51CF">
              <w:rPr>
                <w:rFonts w:cs="Calibri"/>
                <w:sz w:val="22"/>
              </w:rPr>
              <w:t xml:space="preserve">election should be made on the basis of the quality of their research </w:t>
            </w:r>
            <w:r>
              <w:rPr>
                <w:rFonts w:cs="Calibri"/>
                <w:sz w:val="22"/>
              </w:rPr>
              <w:t xml:space="preserve">(i.e. internal and external reviewer star ratings) </w:t>
            </w:r>
            <w:r w:rsidRPr="009C51CF">
              <w:rPr>
                <w:rFonts w:cs="Calibri"/>
                <w:sz w:val="22"/>
              </w:rPr>
              <w:t>only.</w:t>
            </w:r>
          </w:p>
          <w:p w:rsidR="00ED2432" w:rsidRPr="00B60850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</w:t>
            </w:r>
            <w:r>
              <w:rPr>
                <w:rFonts w:cs="Calibri"/>
                <w:sz w:val="22"/>
              </w:rPr>
              <w:t xml:space="preserve">meets the criteria for selection described in the institution’s Code of Practice </w:t>
            </w:r>
            <w:r w:rsidRPr="009C51CF">
              <w:rPr>
                <w:rFonts w:cs="Calibri"/>
                <w:sz w:val="22"/>
              </w:rPr>
              <w:t xml:space="preserve">an HEI will not be able to justify not </w:t>
            </w:r>
            <w:r>
              <w:rPr>
                <w:rFonts w:cs="Calibri"/>
                <w:sz w:val="22"/>
              </w:rPr>
              <w:t xml:space="preserve">submitting them because of </w:t>
            </w:r>
            <w:r w:rsidRPr="009C51CF">
              <w:rPr>
                <w:rFonts w:cs="Calibri"/>
                <w:sz w:val="22"/>
              </w:rPr>
              <w:t>staff members’ re</w:t>
            </w:r>
            <w:r>
              <w:rPr>
                <w:rFonts w:cs="Calibri"/>
                <w:sz w:val="22"/>
              </w:rPr>
              <w:t>ligion or belief (including non-</w:t>
            </w:r>
            <w:r w:rsidRPr="009C51CF">
              <w:rPr>
                <w:rFonts w:cs="Calibri"/>
                <w:sz w:val="22"/>
              </w:rPr>
              <w:t xml:space="preserve">belief), their perceived religion or belief or their association with someone of a particular religion or belief. </w:t>
            </w:r>
            <w:r>
              <w:rPr>
                <w:rFonts w:cs="Calibri"/>
                <w:sz w:val="22"/>
              </w:rPr>
              <w:t xml:space="preserve">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</w:tc>
      </w:tr>
      <w:tr w:rsidR="00ED2432" w:rsidRPr="009C51CF" w:rsidTr="00ED2432">
        <w:tc>
          <w:tcPr>
            <w:tcW w:w="1526" w:type="dxa"/>
          </w:tcPr>
          <w:p w:rsidR="00ED2432" w:rsidRPr="00940B33" w:rsidRDefault="00ED2432" w:rsidP="00ED2432">
            <w:pPr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Sex</w:t>
            </w:r>
          </w:p>
        </w:tc>
        <w:tc>
          <w:tcPr>
            <w:tcW w:w="4252" w:type="dxa"/>
          </w:tcPr>
          <w:p w:rsidR="00ED2432" w:rsidRPr="009C51CF" w:rsidRDefault="00ED2432" w:rsidP="00ED2432">
            <w:pPr>
              <w:rPr>
                <w:rFonts w:cs="Calibri"/>
                <w:b/>
                <w:sz w:val="22"/>
              </w:rPr>
            </w:pPr>
            <w:r w:rsidRPr="009C51CF">
              <w:rPr>
                <w:rFonts w:cs="Calibri"/>
                <w:b/>
                <w:sz w:val="22"/>
              </w:rPr>
              <w:t>The Equality Act 2010 protect</w:t>
            </w:r>
            <w:r>
              <w:rPr>
                <w:rFonts w:cs="Calibri"/>
                <w:b/>
                <w:sz w:val="22"/>
              </w:rPr>
              <w:t>s</w:t>
            </w:r>
            <w:r w:rsidRPr="009C51CF">
              <w:rPr>
                <w:rFonts w:cs="Calibri"/>
                <w:b/>
                <w:sz w:val="22"/>
              </w:rPr>
              <w:t xml:space="preserve"> HEI staff from unlawful discrimination to do with sex. </w:t>
            </w:r>
          </w:p>
          <w:p w:rsidR="00ED2432" w:rsidRDefault="00ED2432" w:rsidP="00ED2432">
            <w:p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The sex discrimination provisions of the Equality Act explicitly protect women from less favourable treatment because they are breastfeeding. </w:t>
            </w: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ind w:left="3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>In England, Scotland and Wales, employees are also protected because of their perceived sex or because of their association with someone of a particular sex.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Decisions on </w:t>
            </w:r>
            <w:r w:rsidRPr="009C51CF">
              <w:rPr>
                <w:rFonts w:cs="Calibri"/>
                <w:sz w:val="22"/>
              </w:rPr>
              <w:t xml:space="preserve">selection </w:t>
            </w:r>
            <w:r>
              <w:rPr>
                <w:rFonts w:cs="Calibri"/>
                <w:sz w:val="22"/>
              </w:rPr>
              <w:t xml:space="preserve">of outputs </w:t>
            </w:r>
            <w:r w:rsidRPr="009C51CF">
              <w:rPr>
                <w:rFonts w:cs="Calibri"/>
                <w:sz w:val="22"/>
              </w:rPr>
              <w:t xml:space="preserve">should not be affected by staff members’ sex, perceived sex or association with someone of a particular sex. </w:t>
            </w:r>
            <w:r>
              <w:rPr>
                <w:rFonts w:cs="Calibri"/>
                <w:sz w:val="22"/>
              </w:rPr>
              <w:t>S</w:t>
            </w:r>
            <w:r w:rsidRPr="009C51CF">
              <w:rPr>
                <w:rFonts w:cs="Calibri"/>
                <w:sz w:val="22"/>
              </w:rPr>
              <w:t xml:space="preserve">election should be made on the basis of the quality of their research </w:t>
            </w:r>
            <w:r>
              <w:rPr>
                <w:rFonts w:cs="Calibri"/>
                <w:sz w:val="22"/>
              </w:rPr>
              <w:t xml:space="preserve">(i.e. internal and external reviewer star ratings) </w:t>
            </w:r>
            <w:r w:rsidRPr="009C51CF">
              <w:rPr>
                <w:rFonts w:cs="Calibri"/>
                <w:sz w:val="22"/>
              </w:rPr>
              <w:t>only.</w:t>
            </w:r>
          </w:p>
          <w:p w:rsidR="00ED2432" w:rsidRDefault="00ED2432" w:rsidP="00ED2432">
            <w:pPr>
              <w:pStyle w:val="ListBullet"/>
              <w:numPr>
                <w:ilvl w:val="0"/>
                <w:numId w:val="6"/>
              </w:numPr>
              <w:ind w:left="317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</w:t>
            </w:r>
            <w:r>
              <w:rPr>
                <w:rFonts w:cs="Calibri"/>
                <w:sz w:val="22"/>
              </w:rPr>
              <w:t xml:space="preserve">meets the criteria for selection described in the institution’s Code of Practice </w:t>
            </w:r>
            <w:r w:rsidRPr="009C51CF">
              <w:rPr>
                <w:rFonts w:cs="Calibri"/>
                <w:sz w:val="22"/>
              </w:rPr>
              <w:t xml:space="preserve">an HEI will not be able to justify not </w:t>
            </w:r>
            <w:r>
              <w:rPr>
                <w:rFonts w:cs="Calibri"/>
                <w:sz w:val="22"/>
              </w:rPr>
              <w:t xml:space="preserve">submitting them because of </w:t>
            </w:r>
            <w:r w:rsidRPr="009C51CF">
              <w:rPr>
                <w:rFonts w:cs="Calibri"/>
                <w:sz w:val="22"/>
              </w:rPr>
              <w:t xml:space="preserve">staff members’ sex, perceived sex or association with someone of a particular sex. </w:t>
            </w:r>
            <w:r>
              <w:rPr>
                <w:rFonts w:cs="Calibri"/>
                <w:sz w:val="22"/>
              </w:rPr>
              <w:t xml:space="preserve"> </w:t>
            </w:r>
          </w:p>
          <w:p w:rsidR="00ED2432" w:rsidRDefault="00ED2432" w:rsidP="00ED2432">
            <w:pPr>
              <w:pStyle w:val="ListBullet"/>
              <w:numPr>
                <w:ilvl w:val="0"/>
                <w:numId w:val="0"/>
              </w:numPr>
              <w:rPr>
                <w:rFonts w:cs="Calibri"/>
                <w:sz w:val="22"/>
              </w:rPr>
            </w:pPr>
          </w:p>
          <w:p w:rsidR="00ED2432" w:rsidRPr="009C51CF" w:rsidRDefault="00ED2432" w:rsidP="00ED2432">
            <w:pPr>
              <w:pStyle w:val="ListBullet"/>
              <w:numPr>
                <w:ilvl w:val="0"/>
                <w:numId w:val="0"/>
              </w:numPr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Pr="009C51CF" w:rsidRDefault="00ED2432" w:rsidP="00ED2432">
            <w:pPr>
              <w:pStyle w:val="ListBullet"/>
              <w:numPr>
                <w:ilvl w:val="0"/>
                <w:numId w:val="4"/>
              </w:num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has taken time out of work due to breastfeeding they may be eligible to be submitted with a reduced number of research outputs.  </w:t>
            </w:r>
          </w:p>
          <w:p w:rsidR="00ED2432" w:rsidRDefault="00ED2432" w:rsidP="00ED2432">
            <w:pPr>
              <w:pStyle w:val="ListBullet"/>
              <w:numPr>
                <w:ilvl w:val="0"/>
                <w:numId w:val="0"/>
              </w:numPr>
              <w:ind w:left="317"/>
              <w:rPr>
                <w:rFonts w:cs="Calibri"/>
                <w:sz w:val="22"/>
              </w:rPr>
            </w:pPr>
          </w:p>
        </w:tc>
      </w:tr>
      <w:tr w:rsidR="00ED2432" w:rsidRPr="009C51CF" w:rsidTr="00ED2432">
        <w:tc>
          <w:tcPr>
            <w:tcW w:w="1526" w:type="dxa"/>
          </w:tcPr>
          <w:p w:rsidR="00ED2432" w:rsidRPr="00940B33" w:rsidRDefault="00ED2432" w:rsidP="00ED2432">
            <w:pPr>
              <w:rPr>
                <w:rFonts w:cs="Calibri"/>
                <w:b/>
                <w:sz w:val="22"/>
              </w:rPr>
            </w:pPr>
            <w:r w:rsidRPr="00940B33">
              <w:rPr>
                <w:rFonts w:cs="Calibri"/>
                <w:b/>
                <w:sz w:val="22"/>
              </w:rPr>
              <w:t>Sexual orientation</w:t>
            </w:r>
          </w:p>
        </w:tc>
        <w:tc>
          <w:tcPr>
            <w:tcW w:w="4252" w:type="dxa"/>
          </w:tcPr>
          <w:p w:rsidR="00ED2432" w:rsidRPr="009C51CF" w:rsidRDefault="00ED2432" w:rsidP="00ED2432">
            <w:pPr>
              <w:rPr>
                <w:rFonts w:cs="Calibri"/>
                <w:b/>
                <w:sz w:val="22"/>
              </w:rPr>
            </w:pPr>
            <w:r w:rsidRPr="009C51CF">
              <w:rPr>
                <w:rFonts w:cs="Calibri"/>
                <w:b/>
                <w:sz w:val="22"/>
              </w:rPr>
              <w:t>The Equality Act 2010 protect</w:t>
            </w:r>
            <w:r>
              <w:rPr>
                <w:rFonts w:cs="Calibri"/>
                <w:b/>
                <w:sz w:val="22"/>
              </w:rPr>
              <w:t>s</w:t>
            </w:r>
            <w:r w:rsidRPr="009C51CF">
              <w:rPr>
                <w:rFonts w:cs="Calibri"/>
                <w:b/>
                <w:sz w:val="22"/>
              </w:rPr>
              <w:t xml:space="preserve"> HEI staff from unlawful discrimination to do with sexual orientation. </w:t>
            </w:r>
          </w:p>
          <w:p w:rsidR="004105CB" w:rsidRDefault="004105CB" w:rsidP="004105CB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>Staff in Eng</w:t>
            </w:r>
            <w:r>
              <w:rPr>
                <w:rFonts w:cs="Calibri"/>
                <w:sz w:val="22"/>
              </w:rPr>
              <w:t>land, Scotland and Wales are</w:t>
            </w:r>
          </w:p>
          <w:p w:rsidR="004105CB" w:rsidRPr="004105CB" w:rsidRDefault="004105CB" w:rsidP="004105CB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>protected if they are perceived to be or are associated with someone who is of a particular sexual orientation.</w:t>
            </w:r>
          </w:p>
          <w:p w:rsidR="00ED2432" w:rsidRPr="009C51CF" w:rsidRDefault="00ED2432" w:rsidP="00ED2432">
            <w:pPr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4105CB">
            <w:pPr>
              <w:pStyle w:val="ListBullet"/>
              <w:numPr>
                <w:ilvl w:val="0"/>
                <w:numId w:val="6"/>
              </w:num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Decisions on </w:t>
            </w:r>
            <w:r w:rsidRPr="009C51CF">
              <w:rPr>
                <w:rFonts w:cs="Calibri"/>
                <w:sz w:val="22"/>
              </w:rPr>
              <w:t xml:space="preserve">selection </w:t>
            </w:r>
            <w:r>
              <w:rPr>
                <w:rFonts w:cs="Calibri"/>
                <w:sz w:val="22"/>
              </w:rPr>
              <w:t xml:space="preserve">of outputs </w:t>
            </w:r>
            <w:r w:rsidRPr="009C51CF">
              <w:rPr>
                <w:rFonts w:cs="Calibri"/>
                <w:sz w:val="22"/>
              </w:rPr>
              <w:t>should not be affected by staff members’</w:t>
            </w:r>
            <w:r>
              <w:rPr>
                <w:rFonts w:cs="Calibri"/>
                <w:sz w:val="22"/>
              </w:rPr>
              <w:t xml:space="preserve"> </w:t>
            </w:r>
            <w:r w:rsidRPr="009C51CF">
              <w:rPr>
                <w:rFonts w:cs="Calibri"/>
                <w:sz w:val="22"/>
              </w:rPr>
              <w:t xml:space="preserve">sexual orientation, their perceived sexual orientation or association with someone of a particular sexual orientation. </w:t>
            </w:r>
            <w:r>
              <w:rPr>
                <w:rFonts w:cs="Calibri"/>
                <w:sz w:val="22"/>
              </w:rPr>
              <w:t>S</w:t>
            </w:r>
            <w:r w:rsidRPr="009C51CF">
              <w:rPr>
                <w:rFonts w:cs="Calibri"/>
                <w:sz w:val="22"/>
              </w:rPr>
              <w:t xml:space="preserve">election should be made on the basis of the quality of their research </w:t>
            </w:r>
            <w:r>
              <w:rPr>
                <w:rFonts w:cs="Calibri"/>
                <w:sz w:val="22"/>
              </w:rPr>
              <w:t xml:space="preserve">(i.e. internal and external reviewer star ratings) </w:t>
            </w:r>
            <w:r w:rsidRPr="009C51CF">
              <w:rPr>
                <w:rFonts w:cs="Calibri"/>
                <w:sz w:val="22"/>
              </w:rPr>
              <w:t>only.</w:t>
            </w:r>
          </w:p>
          <w:p w:rsidR="00ED2432" w:rsidRDefault="00ED2432" w:rsidP="004105CB">
            <w:pPr>
              <w:pStyle w:val="ListBullet"/>
              <w:numPr>
                <w:ilvl w:val="0"/>
                <w:numId w:val="6"/>
              </w:numPr>
              <w:rPr>
                <w:rFonts w:cs="Calibri"/>
                <w:sz w:val="22"/>
              </w:rPr>
            </w:pPr>
            <w:r w:rsidRPr="009C51CF">
              <w:rPr>
                <w:rFonts w:cs="Calibri"/>
                <w:sz w:val="22"/>
              </w:rPr>
              <w:t xml:space="preserve">If a researcher </w:t>
            </w:r>
            <w:r>
              <w:rPr>
                <w:rFonts w:cs="Calibri"/>
                <w:sz w:val="22"/>
              </w:rPr>
              <w:t xml:space="preserve">meets the criteria for selection described in the institution’s Code of Practice </w:t>
            </w:r>
            <w:r w:rsidRPr="009C51CF">
              <w:rPr>
                <w:rFonts w:cs="Calibri"/>
                <w:sz w:val="22"/>
              </w:rPr>
              <w:t xml:space="preserve">an HEI will not be able to justify not </w:t>
            </w:r>
            <w:r>
              <w:rPr>
                <w:rFonts w:cs="Calibri"/>
                <w:sz w:val="22"/>
              </w:rPr>
              <w:t xml:space="preserve">submitting them because of </w:t>
            </w:r>
            <w:r w:rsidRPr="009C51CF">
              <w:rPr>
                <w:rFonts w:cs="Calibri"/>
                <w:sz w:val="22"/>
              </w:rPr>
              <w:t>staff members’ sexual orientation, their perceived sexual orientation or association with someone of a particular sexual orientation.</w:t>
            </w:r>
          </w:p>
          <w:p w:rsidR="00ED2432" w:rsidRPr="009C51CF" w:rsidRDefault="00ED2432" w:rsidP="004105CB">
            <w:pPr>
              <w:pStyle w:val="ListBullet"/>
              <w:numPr>
                <w:ilvl w:val="0"/>
                <w:numId w:val="0"/>
              </w:numPr>
              <w:rPr>
                <w:rFonts w:cs="Calibri"/>
                <w:sz w:val="22"/>
              </w:rPr>
            </w:pPr>
          </w:p>
        </w:tc>
        <w:tc>
          <w:tcPr>
            <w:tcW w:w="4252" w:type="dxa"/>
          </w:tcPr>
          <w:p w:rsidR="00ED2432" w:rsidRDefault="00ED2432" w:rsidP="004105CB">
            <w:pPr>
              <w:pStyle w:val="ListBullet"/>
              <w:numPr>
                <w:ilvl w:val="0"/>
                <w:numId w:val="0"/>
              </w:numPr>
              <w:ind w:left="318"/>
              <w:rPr>
                <w:rFonts w:cs="Calibri"/>
                <w:sz w:val="22"/>
              </w:rPr>
            </w:pPr>
          </w:p>
        </w:tc>
      </w:tr>
    </w:tbl>
    <w:p w:rsidR="007A7CB1" w:rsidRPr="00223107" w:rsidRDefault="007A7CB1" w:rsidP="00223107"/>
    <w:sectPr w:rsidR="007A7CB1" w:rsidRPr="00223107" w:rsidSect="009E555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83A" w:rsidRDefault="00F6483A" w:rsidP="009C3793">
      <w:pPr>
        <w:spacing w:before="0"/>
      </w:pPr>
      <w:r>
        <w:separator/>
      </w:r>
    </w:p>
  </w:endnote>
  <w:endnote w:type="continuationSeparator" w:id="0">
    <w:p w:rsidR="00F6483A" w:rsidRDefault="00F6483A" w:rsidP="009C37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83A" w:rsidRDefault="00F6483A" w:rsidP="009C3793">
      <w:pPr>
        <w:spacing w:before="0"/>
      </w:pPr>
      <w:r>
        <w:separator/>
      </w:r>
    </w:p>
  </w:footnote>
  <w:footnote w:type="continuationSeparator" w:id="0">
    <w:p w:rsidR="00F6483A" w:rsidRDefault="00F6483A" w:rsidP="009C3793">
      <w:pPr>
        <w:spacing w:before="0"/>
      </w:pPr>
      <w:r>
        <w:continuationSeparator/>
      </w:r>
    </w:p>
  </w:footnote>
  <w:footnote w:id="1">
    <w:p w:rsidR="009C3793" w:rsidRDefault="009C3793">
      <w:pPr>
        <w:pStyle w:val="FootnoteText"/>
      </w:pPr>
      <w:r>
        <w:rPr>
          <w:rStyle w:val="FootnoteReference"/>
        </w:rPr>
        <w:footnoteRef/>
      </w:r>
      <w:r>
        <w:t xml:space="preserve"> Adapted from ECU Briefing Changing Equalities (2012)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D0C2364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3767"/>
      </w:rPr>
    </w:lvl>
  </w:abstractNum>
  <w:abstractNum w:abstractNumId="1" w15:restartNumberingAfterBreak="0">
    <w:nsid w:val="FFFFFF89"/>
    <w:multiLevelType w:val="singleLevel"/>
    <w:tmpl w:val="263064DE"/>
    <w:lvl w:ilvl="0">
      <w:start w:val="1"/>
      <w:numFmt w:val="bullet"/>
      <w:pStyle w:val="ListBullet"/>
      <w:lvlText w:val="="/>
      <w:lvlJc w:val="left"/>
      <w:pPr>
        <w:ind w:left="360" w:hanging="360"/>
      </w:pPr>
      <w:rPr>
        <w:rFonts w:ascii="Calibri" w:hAnsi="Calibri" w:hint="default"/>
        <w:b w:val="0"/>
        <w:i w:val="0"/>
        <w:color w:val="0093D0"/>
      </w:rPr>
    </w:lvl>
  </w:abstractNum>
  <w:abstractNum w:abstractNumId="2" w15:restartNumberingAfterBreak="0">
    <w:nsid w:val="26F83ADE"/>
    <w:multiLevelType w:val="hybridMultilevel"/>
    <w:tmpl w:val="3DFA1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3670"/>
    <w:multiLevelType w:val="hybridMultilevel"/>
    <w:tmpl w:val="68C48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4349A1"/>
    <w:multiLevelType w:val="hybridMultilevel"/>
    <w:tmpl w:val="E2AC62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7C66"/>
    <w:multiLevelType w:val="hybridMultilevel"/>
    <w:tmpl w:val="2CE0D8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9F091E"/>
    <w:multiLevelType w:val="hybridMultilevel"/>
    <w:tmpl w:val="D1B83A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D"/>
    <w:rsid w:val="00020A39"/>
    <w:rsid w:val="000807C2"/>
    <w:rsid w:val="001B67BD"/>
    <w:rsid w:val="00223107"/>
    <w:rsid w:val="002958A5"/>
    <w:rsid w:val="002A1CD4"/>
    <w:rsid w:val="002C75C8"/>
    <w:rsid w:val="004105CB"/>
    <w:rsid w:val="004325CE"/>
    <w:rsid w:val="0044120F"/>
    <w:rsid w:val="004F7762"/>
    <w:rsid w:val="00596A64"/>
    <w:rsid w:val="005F420C"/>
    <w:rsid w:val="006B03EA"/>
    <w:rsid w:val="00751116"/>
    <w:rsid w:val="00770EE1"/>
    <w:rsid w:val="007A7CB1"/>
    <w:rsid w:val="00871E36"/>
    <w:rsid w:val="00892E61"/>
    <w:rsid w:val="00904448"/>
    <w:rsid w:val="00940B33"/>
    <w:rsid w:val="0094454C"/>
    <w:rsid w:val="009C2286"/>
    <w:rsid w:val="009C3793"/>
    <w:rsid w:val="009E555A"/>
    <w:rsid w:val="00A25D5D"/>
    <w:rsid w:val="00A937D8"/>
    <w:rsid w:val="00B2352B"/>
    <w:rsid w:val="00B60850"/>
    <w:rsid w:val="00BB04EA"/>
    <w:rsid w:val="00C71333"/>
    <w:rsid w:val="00CE3CEB"/>
    <w:rsid w:val="00D30297"/>
    <w:rsid w:val="00EB24E7"/>
    <w:rsid w:val="00EC4A28"/>
    <w:rsid w:val="00ED2432"/>
    <w:rsid w:val="00F6483A"/>
    <w:rsid w:val="00F74E75"/>
    <w:rsid w:val="00F8198D"/>
    <w:rsid w:val="00FD2396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ED10"/>
  <w15:docId w15:val="{FC1BED85-746E-4A2A-B145-D27ECFDB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4E7"/>
    <w:pPr>
      <w:spacing w:before="240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E7"/>
    <w:pPr>
      <w:keepNext/>
      <w:keepLines/>
      <w:tabs>
        <w:tab w:val="left" w:pos="1418"/>
      </w:tabs>
      <w:spacing w:before="480"/>
      <w:outlineLvl w:val="0"/>
    </w:pPr>
    <w:rPr>
      <w:rFonts w:eastAsia="Times New Roman"/>
      <w:b/>
      <w:bCs/>
      <w:color w:val="00376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24E7"/>
    <w:pPr>
      <w:keepNext/>
      <w:keepLines/>
      <w:tabs>
        <w:tab w:val="left" w:pos="1418"/>
      </w:tabs>
      <w:spacing w:before="36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24E7"/>
    <w:pPr>
      <w:keepNext/>
      <w:keepLines/>
      <w:tabs>
        <w:tab w:val="left" w:pos="1418"/>
      </w:tabs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E7"/>
    <w:rPr>
      <w:rFonts w:eastAsia="Times New Roman" w:cs="Times New Roman"/>
      <w:b/>
      <w:bCs/>
      <w:color w:val="00376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24E7"/>
    <w:rPr>
      <w:rFonts w:eastAsia="Times New Roman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24E7"/>
    <w:rPr>
      <w:rFonts w:eastAsia="Times New Roman" w:cs="Times New Roman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B24E7"/>
    <w:pPr>
      <w:spacing w:before="0"/>
      <w:contextualSpacing/>
    </w:pPr>
    <w:rPr>
      <w:rFonts w:eastAsia="Times New Roman"/>
      <w:b/>
      <w:color w:val="003767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4E7"/>
    <w:rPr>
      <w:rFonts w:eastAsia="Times New Roman" w:cs="Times New Roman"/>
      <w:b/>
      <w:color w:val="003767"/>
      <w:spacing w:val="5"/>
      <w:kern w:val="28"/>
      <w:sz w:val="40"/>
      <w:szCs w:val="52"/>
    </w:rPr>
  </w:style>
  <w:style w:type="character" w:styleId="Emphasis">
    <w:name w:val="Emphasis"/>
    <w:basedOn w:val="DefaultParagraphFont"/>
    <w:uiPriority w:val="20"/>
    <w:qFormat/>
    <w:rsid w:val="00871E36"/>
    <w:rPr>
      <w:b/>
      <w:iCs/>
      <w:color w:val="003767"/>
    </w:rPr>
  </w:style>
  <w:style w:type="paragraph" w:styleId="Quote">
    <w:name w:val="Quote"/>
    <w:basedOn w:val="Normal"/>
    <w:next w:val="Normal"/>
    <w:link w:val="QuoteChar"/>
    <w:uiPriority w:val="29"/>
    <w:qFormat/>
    <w:rsid w:val="00EB24E7"/>
    <w:pPr>
      <w:ind w:left="284" w:right="284"/>
    </w:pPr>
    <w:rPr>
      <w:iCs/>
      <w:color w:val="003767"/>
    </w:rPr>
  </w:style>
  <w:style w:type="character" w:customStyle="1" w:styleId="QuoteChar">
    <w:name w:val="Quote Char"/>
    <w:basedOn w:val="DefaultParagraphFont"/>
    <w:link w:val="Quote"/>
    <w:uiPriority w:val="29"/>
    <w:rsid w:val="00EB24E7"/>
    <w:rPr>
      <w:iCs/>
      <w:color w:val="003767"/>
      <w:sz w:val="24"/>
    </w:rPr>
  </w:style>
  <w:style w:type="paragraph" w:styleId="ListBullet2">
    <w:name w:val="List Bullet 2"/>
    <w:basedOn w:val="Normal"/>
    <w:uiPriority w:val="99"/>
    <w:qFormat/>
    <w:rsid w:val="00EB24E7"/>
    <w:pPr>
      <w:numPr>
        <w:numId w:val="2"/>
      </w:numPr>
      <w:tabs>
        <w:tab w:val="clear" w:pos="643"/>
      </w:tabs>
      <w:spacing w:before="0" w:after="240"/>
      <w:ind w:left="568" w:hanging="284"/>
    </w:pPr>
  </w:style>
  <w:style w:type="paragraph" w:styleId="ListBullet">
    <w:name w:val="List Bullet"/>
    <w:basedOn w:val="Normal"/>
    <w:uiPriority w:val="99"/>
    <w:qFormat/>
    <w:rsid w:val="00EB24E7"/>
    <w:pPr>
      <w:numPr>
        <w:numId w:val="1"/>
      </w:numPr>
      <w:spacing w:before="120"/>
      <w:ind w:left="284" w:hanging="284"/>
    </w:pPr>
  </w:style>
  <w:style w:type="paragraph" w:styleId="NoSpacing">
    <w:name w:val="No Spacing"/>
    <w:basedOn w:val="Normal"/>
    <w:uiPriority w:val="1"/>
    <w:qFormat/>
    <w:rsid w:val="00EB24E7"/>
    <w:pPr>
      <w:spacing w:before="0"/>
    </w:pPr>
  </w:style>
  <w:style w:type="paragraph" w:customStyle="1" w:styleId="Quotereference">
    <w:name w:val="Quote reference"/>
    <w:basedOn w:val="Normal"/>
    <w:qFormat/>
    <w:rsid w:val="00EB24E7"/>
    <w:pPr>
      <w:spacing w:before="0"/>
      <w:jc w:val="right"/>
    </w:pPr>
  </w:style>
  <w:style w:type="character" w:styleId="Hyperlink">
    <w:name w:val="Hyperlink"/>
    <w:uiPriority w:val="99"/>
    <w:qFormat/>
    <w:rsid w:val="00EB24E7"/>
    <w:rPr>
      <w:color w:val="003767"/>
      <w:u w:val="single"/>
    </w:rPr>
  </w:style>
  <w:style w:type="table" w:styleId="TableGrid">
    <w:name w:val="Table Grid"/>
    <w:basedOn w:val="TableNormal"/>
    <w:uiPriority w:val="59"/>
    <w:rsid w:val="00871E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mphasis2">
    <w:name w:val="Emphasis 2"/>
    <w:basedOn w:val="Normal"/>
    <w:qFormat/>
    <w:rsid w:val="00EB24E7"/>
    <w:rPr>
      <w:b/>
      <w:iCs/>
      <w:color w:val="003767"/>
    </w:rPr>
  </w:style>
  <w:style w:type="paragraph" w:styleId="ListParagraph">
    <w:name w:val="List Paragraph"/>
    <w:basedOn w:val="Normal"/>
    <w:uiPriority w:val="34"/>
    <w:qFormat/>
    <w:rsid w:val="00940B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C379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79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C379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93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7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7D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7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08B7-9434-41F8-9480-A0F2F065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annara</dc:creator>
  <cp:keywords/>
  <cp:lastModifiedBy>Tracy Turner</cp:lastModifiedBy>
  <cp:revision>2</cp:revision>
  <cp:lastPrinted>2012-07-25T09:30:00Z</cp:lastPrinted>
  <dcterms:created xsi:type="dcterms:W3CDTF">2019-12-17T15:20:00Z</dcterms:created>
  <dcterms:modified xsi:type="dcterms:W3CDTF">2019-12-17T15:20:00Z</dcterms:modified>
</cp:coreProperties>
</file>