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557B" w14:textId="77777777" w:rsidR="00554639" w:rsidRDefault="00554639" w:rsidP="00006797">
      <w:pPr>
        <w:jc w:val="center"/>
        <w:rPr>
          <w:b/>
        </w:rPr>
      </w:pPr>
    </w:p>
    <w:p w14:paraId="5E013450" w14:textId="77777777" w:rsidR="00AF210D" w:rsidRDefault="00006797" w:rsidP="00006797">
      <w:pPr>
        <w:jc w:val="center"/>
        <w:rPr>
          <w:b/>
        </w:rPr>
      </w:pPr>
      <w:r>
        <w:rPr>
          <w:b/>
        </w:rPr>
        <w:t>REF OVERSIGHT COMMITTEE</w:t>
      </w:r>
    </w:p>
    <w:p w14:paraId="6F40B8BA" w14:textId="77777777" w:rsidR="00554639" w:rsidRDefault="00006797" w:rsidP="00ED63E9">
      <w:pPr>
        <w:jc w:val="center"/>
        <w:rPr>
          <w:b/>
        </w:rPr>
      </w:pPr>
      <w:r>
        <w:rPr>
          <w:b/>
        </w:rPr>
        <w:t xml:space="preserve">Notes and </w:t>
      </w:r>
      <w:r w:rsidR="00FE628B">
        <w:rPr>
          <w:b/>
        </w:rPr>
        <w:t>A</w:t>
      </w:r>
      <w:r>
        <w:rPr>
          <w:b/>
        </w:rPr>
        <w:t xml:space="preserve">ctions from the </w:t>
      </w:r>
      <w:r w:rsidR="00FE628B">
        <w:rPr>
          <w:b/>
        </w:rPr>
        <w:t>M</w:t>
      </w:r>
      <w:r>
        <w:rPr>
          <w:b/>
        </w:rPr>
        <w:t xml:space="preserve">eeting </w:t>
      </w:r>
      <w:r w:rsidR="00FE628B">
        <w:rPr>
          <w:b/>
        </w:rPr>
        <w:t>H</w:t>
      </w:r>
      <w:r>
        <w:rPr>
          <w:b/>
        </w:rPr>
        <w:t xml:space="preserve">eld </w:t>
      </w:r>
      <w:r w:rsidR="00FE628B">
        <w:rPr>
          <w:b/>
        </w:rPr>
        <w:t xml:space="preserve">on </w:t>
      </w:r>
      <w:r w:rsidR="001F1A5C">
        <w:rPr>
          <w:b/>
        </w:rPr>
        <w:t xml:space="preserve">21 September </w:t>
      </w:r>
      <w:r w:rsidR="00FE628B">
        <w:rPr>
          <w:b/>
        </w:rPr>
        <w:t>2</w:t>
      </w:r>
      <w:r>
        <w:rPr>
          <w:b/>
        </w:rPr>
        <w:t>0</w:t>
      </w:r>
      <w:r w:rsidR="003942A4">
        <w:rPr>
          <w:b/>
        </w:rPr>
        <w:t>20</w:t>
      </w:r>
    </w:p>
    <w:p w14:paraId="20FBA558" w14:textId="77777777" w:rsidR="00006797" w:rsidRPr="00006797" w:rsidRDefault="00006797" w:rsidP="00006797">
      <w:r>
        <w:rPr>
          <w:b/>
        </w:rPr>
        <w:t>PRESENT:</w:t>
      </w:r>
      <w:r w:rsidR="009B2F7C">
        <w:t xml:space="preserve"> </w:t>
      </w:r>
      <w:r w:rsidR="009B2F7C" w:rsidRPr="00006797">
        <w:t xml:space="preserve">Prof </w:t>
      </w:r>
      <w:r w:rsidR="009B2F7C">
        <w:t>Andrew Ball (AB),</w:t>
      </w:r>
      <w:r w:rsidR="001B4D3A">
        <w:t xml:space="preserve"> </w:t>
      </w:r>
      <w:r w:rsidR="001B4D3A" w:rsidRPr="00FE628B">
        <w:t>Prof Dave Taylor</w:t>
      </w:r>
      <w:r w:rsidR="001B4D3A">
        <w:t>,</w:t>
      </w:r>
      <w:r w:rsidR="007D56B2">
        <w:t xml:space="preserve"> </w:t>
      </w:r>
      <w:r w:rsidR="00D426A5">
        <w:t xml:space="preserve">Liz Towns-Andrews, </w:t>
      </w:r>
      <w:r w:rsidR="00484FBA">
        <w:t>Tracy Turner</w:t>
      </w:r>
      <w:r w:rsidR="007274BB">
        <w:t xml:space="preserve"> (</w:t>
      </w:r>
      <w:r w:rsidR="00484FBA">
        <w:t>TT</w:t>
      </w:r>
      <w:r w:rsidR="007274BB">
        <w:t>)</w:t>
      </w:r>
      <w:r w:rsidR="00542AD9">
        <w:t>,</w:t>
      </w:r>
      <w:r w:rsidR="00C93228">
        <w:t xml:space="preserve"> </w:t>
      </w:r>
      <w:r w:rsidR="001F1A5C">
        <w:t xml:space="preserve">Siobhan Moss, </w:t>
      </w:r>
      <w:r>
        <w:t>Kirsty Taylor</w:t>
      </w:r>
      <w:r w:rsidR="00647E4F">
        <w:t xml:space="preserve"> (KT)</w:t>
      </w:r>
      <w:r w:rsidR="00542AD9">
        <w:t>, Deborah Wills (notes)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371"/>
        <w:gridCol w:w="1083"/>
      </w:tblGrid>
      <w:tr w:rsidR="00006797" w14:paraId="65435CC6" w14:textId="77777777" w:rsidTr="008E04C1">
        <w:tc>
          <w:tcPr>
            <w:tcW w:w="562" w:type="dxa"/>
          </w:tcPr>
          <w:p w14:paraId="7102D87D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7371" w:type="dxa"/>
          </w:tcPr>
          <w:p w14:paraId="1538241B" w14:textId="77777777" w:rsidR="00006797" w:rsidRDefault="00006797" w:rsidP="00006797">
            <w:pPr>
              <w:rPr>
                <w:b/>
              </w:rPr>
            </w:pPr>
          </w:p>
        </w:tc>
        <w:tc>
          <w:tcPr>
            <w:tcW w:w="1083" w:type="dxa"/>
          </w:tcPr>
          <w:p w14:paraId="25CDDA7B" w14:textId="77777777" w:rsidR="00006797" w:rsidRPr="00006797" w:rsidRDefault="00006797" w:rsidP="00044391">
            <w:pPr>
              <w:jc w:val="center"/>
              <w:rPr>
                <w:b/>
              </w:rPr>
            </w:pPr>
            <w:r>
              <w:rPr>
                <w:b/>
              </w:rPr>
              <w:t>ACTIONS</w:t>
            </w:r>
          </w:p>
        </w:tc>
      </w:tr>
      <w:tr w:rsidR="00006797" w14:paraId="1FEA30DB" w14:textId="77777777" w:rsidTr="008E04C1">
        <w:tc>
          <w:tcPr>
            <w:tcW w:w="562" w:type="dxa"/>
          </w:tcPr>
          <w:p w14:paraId="644B0BB1" w14:textId="77777777" w:rsidR="00006797" w:rsidRDefault="003942A4" w:rsidP="00006797">
            <w:r>
              <w:rPr>
                <w:b/>
              </w:rPr>
              <w:t>1</w:t>
            </w:r>
            <w:r w:rsidR="00006797">
              <w:rPr>
                <w:b/>
              </w:rPr>
              <w:t>.</w:t>
            </w:r>
          </w:p>
          <w:p w14:paraId="2E0C777E" w14:textId="77777777" w:rsidR="00647E4F" w:rsidRDefault="00647E4F" w:rsidP="00006797"/>
          <w:p w14:paraId="2F50EFB8" w14:textId="77777777" w:rsidR="00B22A1F" w:rsidRDefault="003942A4" w:rsidP="00FE628B">
            <w:r>
              <w:t>1</w:t>
            </w:r>
            <w:r w:rsidR="00647E4F">
              <w:t>.1</w:t>
            </w:r>
          </w:p>
          <w:p w14:paraId="4F09429B" w14:textId="77777777" w:rsidR="001B4D3A" w:rsidRDefault="001B4D3A" w:rsidP="00FE628B"/>
          <w:p w14:paraId="314D0934" w14:textId="77777777" w:rsidR="001B4D3A" w:rsidRPr="00647E4F" w:rsidRDefault="001B4D3A" w:rsidP="00FE628B">
            <w:r>
              <w:t>1.2</w:t>
            </w:r>
          </w:p>
        </w:tc>
        <w:tc>
          <w:tcPr>
            <w:tcW w:w="7371" w:type="dxa"/>
          </w:tcPr>
          <w:p w14:paraId="7366E202" w14:textId="77777777" w:rsidR="00EF5E46" w:rsidRPr="001F1A5C" w:rsidRDefault="001F1A5C" w:rsidP="001F1A5C">
            <w:pPr>
              <w:pStyle w:val="ListParagraph"/>
              <w:ind w:left="35"/>
              <w:rPr>
                <w:b/>
                <w:bCs/>
              </w:rPr>
            </w:pPr>
            <w:r w:rsidRPr="001F1A5C">
              <w:rPr>
                <w:b/>
                <w:bCs/>
              </w:rPr>
              <w:t>Minutes of meeting held 20 August</w:t>
            </w:r>
            <w:r w:rsidR="001E7BE1">
              <w:rPr>
                <w:b/>
                <w:bCs/>
              </w:rPr>
              <w:t xml:space="preserve"> 2020</w:t>
            </w:r>
          </w:p>
          <w:p w14:paraId="4CF969ED" w14:textId="77777777" w:rsidR="001F1A5C" w:rsidRDefault="001F1A5C" w:rsidP="001F1A5C">
            <w:pPr>
              <w:pStyle w:val="ListParagraph"/>
              <w:ind w:left="35"/>
            </w:pPr>
          </w:p>
          <w:p w14:paraId="1761850A" w14:textId="77777777" w:rsidR="001F1A5C" w:rsidRDefault="001F1A5C" w:rsidP="001F1A5C">
            <w:pPr>
              <w:pStyle w:val="ListParagraph"/>
              <w:ind w:left="35"/>
            </w:pPr>
            <w:r>
              <w:t>The minutes were approved as a correct record.</w:t>
            </w:r>
          </w:p>
          <w:p w14:paraId="13397F3E" w14:textId="77777777" w:rsidR="001F1A5C" w:rsidRDefault="001F1A5C" w:rsidP="001F1A5C">
            <w:pPr>
              <w:pStyle w:val="ListParagraph"/>
              <w:ind w:left="35"/>
            </w:pPr>
          </w:p>
          <w:p w14:paraId="1FD32041" w14:textId="77777777" w:rsidR="001E7BE1" w:rsidRDefault="001E7BE1" w:rsidP="001F1A5C">
            <w:pPr>
              <w:pStyle w:val="ListParagraph"/>
              <w:ind w:left="35"/>
            </w:pPr>
            <w:r>
              <w:t>Matters arising from the minutes of 20 August 2020:</w:t>
            </w:r>
          </w:p>
          <w:p w14:paraId="01890FF8" w14:textId="77777777" w:rsidR="001E7BE1" w:rsidRDefault="001E7BE1" w:rsidP="001F1A5C">
            <w:pPr>
              <w:pStyle w:val="ListParagraph"/>
              <w:ind w:left="35"/>
            </w:pPr>
          </w:p>
          <w:p w14:paraId="023652F9" w14:textId="77777777" w:rsidR="006A7E44" w:rsidRDefault="001E7BE1" w:rsidP="006A7E44">
            <w:pPr>
              <w:pStyle w:val="ListParagraph"/>
              <w:numPr>
                <w:ilvl w:val="0"/>
                <w:numId w:val="5"/>
              </w:numPr>
            </w:pPr>
            <w:r w:rsidRPr="008E3FCE">
              <w:rPr>
                <w:u w:val="single"/>
              </w:rPr>
              <w:t>List of staff with a doctorate not yet publishing at 2*</w:t>
            </w:r>
            <w:r w:rsidR="001F1A5C" w:rsidRPr="008E3FCE">
              <w:rPr>
                <w:u w:val="single"/>
              </w:rPr>
              <w:t xml:space="preserve"> </w:t>
            </w:r>
            <w:r w:rsidR="001F1A5C">
              <w:t xml:space="preserve">- </w:t>
            </w:r>
            <w:r>
              <w:t xml:space="preserve">KT advised that </w:t>
            </w:r>
            <w:r w:rsidR="006A7E44">
              <w:t>the finalised</w:t>
            </w:r>
            <w:r w:rsidR="001F1A5C">
              <w:t xml:space="preserve"> list</w:t>
            </w:r>
            <w:r w:rsidR="006A7E44">
              <w:t xml:space="preserve"> has not yet been completed.  </w:t>
            </w:r>
            <w:r w:rsidR="001F1A5C">
              <w:t xml:space="preserve">AB requested that the finalised list </w:t>
            </w:r>
            <w:r w:rsidR="006A7E44">
              <w:t xml:space="preserve">be </w:t>
            </w:r>
            <w:r w:rsidR="001F1A5C">
              <w:t>sent to AB/TT/SM</w:t>
            </w:r>
            <w:r w:rsidR="006A7E44">
              <w:t xml:space="preserve"> when it is ready to send to Deans.</w:t>
            </w:r>
            <w:r w:rsidR="006A7E44">
              <w:br/>
            </w:r>
          </w:p>
          <w:p w14:paraId="7919BE92" w14:textId="77777777" w:rsidR="006A7E44" w:rsidRDefault="006A7E44" w:rsidP="006A7E44">
            <w:pPr>
              <w:pStyle w:val="ListParagraph"/>
              <w:numPr>
                <w:ilvl w:val="0"/>
                <w:numId w:val="5"/>
              </w:numPr>
            </w:pPr>
            <w:r w:rsidRPr="008E3FCE">
              <w:rPr>
                <w:u w:val="single"/>
              </w:rPr>
              <w:t xml:space="preserve">External review of Research Outputs by UoA </w:t>
            </w:r>
            <w:r w:rsidR="001F1A5C" w:rsidRPr="008E3FCE">
              <w:rPr>
                <w:u w:val="single"/>
              </w:rPr>
              <w:t xml:space="preserve">– request for evidence </w:t>
            </w:r>
            <w:r w:rsidRPr="008E3FCE">
              <w:rPr>
                <w:u w:val="single"/>
              </w:rPr>
              <w:t>of external reviews</w:t>
            </w:r>
            <w:r w:rsidR="001F1A5C">
              <w:t xml:space="preserve">– KT </w:t>
            </w:r>
            <w:r>
              <w:t xml:space="preserve">has scheduled individual </w:t>
            </w:r>
            <w:r w:rsidR="001F1A5C">
              <w:t>meeting</w:t>
            </w:r>
            <w:r>
              <w:t>s</w:t>
            </w:r>
            <w:r w:rsidR="001F1A5C">
              <w:t xml:space="preserve"> </w:t>
            </w:r>
            <w:r>
              <w:t xml:space="preserve">with </w:t>
            </w:r>
            <w:r w:rsidR="001F1A5C">
              <w:t>all UoA Co</w:t>
            </w:r>
            <w:r>
              <w:t>-</w:t>
            </w:r>
            <w:r w:rsidR="001F1A5C">
              <w:t>ordinators to request the information.</w:t>
            </w:r>
            <w:r>
              <w:br/>
            </w:r>
          </w:p>
          <w:p w14:paraId="6BB0E181" w14:textId="77777777" w:rsidR="006A7E44" w:rsidRDefault="001F1A5C" w:rsidP="006A7E44">
            <w:pPr>
              <w:pStyle w:val="ListParagraph"/>
              <w:numPr>
                <w:ilvl w:val="0"/>
                <w:numId w:val="5"/>
              </w:numPr>
              <w:ind w:left="462" w:hanging="462"/>
            </w:pPr>
            <w:r w:rsidRPr="006A7E44">
              <w:rPr>
                <w:u w:val="single"/>
              </w:rPr>
              <w:t>UoA32</w:t>
            </w:r>
            <w:r w:rsidR="006A7E44">
              <w:t xml:space="preserve"> – KT advised that staff who were under consideration have now been included in UoA32 and informed accordingly.</w:t>
            </w:r>
            <w:r w:rsidR="006A7E44">
              <w:br/>
            </w:r>
          </w:p>
          <w:p w14:paraId="7BC80A1F" w14:textId="77777777" w:rsidR="001F1A5C" w:rsidRDefault="006A7E44" w:rsidP="006A7E44">
            <w:pPr>
              <w:pStyle w:val="ListParagraph"/>
              <w:numPr>
                <w:ilvl w:val="0"/>
                <w:numId w:val="5"/>
              </w:numPr>
              <w:ind w:left="462" w:hanging="462"/>
            </w:pPr>
            <w:r w:rsidRPr="006A7E44">
              <w:rPr>
                <w:u w:val="single"/>
              </w:rPr>
              <w:t>REF COP Revisions</w:t>
            </w:r>
            <w:r>
              <w:t xml:space="preserve"> – TT emailed </w:t>
            </w:r>
            <w:r w:rsidR="008E3FCE">
              <w:t xml:space="preserve">the revised Code of Practice to </w:t>
            </w:r>
            <w:r w:rsidR="001F1A5C" w:rsidRPr="006A7E44">
              <w:t xml:space="preserve">Research England </w:t>
            </w:r>
            <w:r w:rsidR="008E3FCE">
              <w:t xml:space="preserve">who subsequently </w:t>
            </w:r>
            <w:r w:rsidR="001F1A5C" w:rsidRPr="006A7E44">
              <w:t xml:space="preserve">confirmed </w:t>
            </w:r>
            <w:r w:rsidR="008E3FCE">
              <w:t>it was received and advised the changes made have been approved</w:t>
            </w:r>
            <w:r w:rsidR="001F1A5C" w:rsidRPr="006A7E44">
              <w:t>.</w:t>
            </w:r>
            <w:r w:rsidR="008E3FCE">
              <w:t xml:space="preserve">  TT confirmed the approved version is now on the intranet and external website.  </w:t>
            </w:r>
            <w:r w:rsidR="008E3FCE">
              <w:br/>
            </w:r>
          </w:p>
          <w:p w14:paraId="443935A2" w14:textId="77777777" w:rsidR="001F1A5C" w:rsidRPr="006A7E44" w:rsidRDefault="008E3FCE" w:rsidP="00695C32">
            <w:pPr>
              <w:pStyle w:val="ListParagraph"/>
              <w:numPr>
                <w:ilvl w:val="0"/>
                <w:numId w:val="5"/>
              </w:numPr>
              <w:ind w:left="462" w:hanging="462"/>
            </w:pPr>
            <w:r w:rsidRPr="008E3FCE">
              <w:rPr>
                <w:u w:val="single"/>
              </w:rPr>
              <w:t>Final round of identification of staff</w:t>
            </w:r>
            <w:r>
              <w:t xml:space="preserve"> - </w:t>
            </w:r>
            <w:r w:rsidR="001F1A5C" w:rsidRPr="006A7E44">
              <w:t xml:space="preserve">KT </w:t>
            </w:r>
            <w:r>
              <w:t xml:space="preserve">advised identification of new </w:t>
            </w:r>
            <w:r w:rsidR="001F1A5C" w:rsidRPr="006A7E44">
              <w:t>starters</w:t>
            </w:r>
            <w:r>
              <w:t xml:space="preserve"> has been completed.  Following a recent meeting with HR, a</w:t>
            </w:r>
            <w:r w:rsidR="001F1A5C" w:rsidRPr="006A7E44">
              <w:t xml:space="preserve">nother 16/17 members of staff need </w:t>
            </w:r>
            <w:r>
              <w:t>to be identified</w:t>
            </w:r>
            <w:r w:rsidR="001F1A5C" w:rsidRPr="006A7E44">
              <w:t>.</w:t>
            </w:r>
          </w:p>
          <w:p w14:paraId="61CB50C1" w14:textId="77777777" w:rsidR="001F1A5C" w:rsidRPr="007C4E8B" w:rsidRDefault="001F1A5C" w:rsidP="001F1A5C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4FE5F233" w14:textId="77777777" w:rsidR="00640F77" w:rsidRDefault="00640F77" w:rsidP="00044391">
            <w:pPr>
              <w:jc w:val="center"/>
              <w:rPr>
                <w:b/>
              </w:rPr>
            </w:pPr>
          </w:p>
          <w:p w14:paraId="4389728F" w14:textId="77777777" w:rsidR="000A792B" w:rsidRDefault="000A792B" w:rsidP="00044391">
            <w:pPr>
              <w:jc w:val="center"/>
              <w:rPr>
                <w:b/>
              </w:rPr>
            </w:pPr>
          </w:p>
          <w:p w14:paraId="0AFC9E3C" w14:textId="77777777" w:rsidR="00F674A6" w:rsidRDefault="00F674A6" w:rsidP="00044391">
            <w:pPr>
              <w:jc w:val="center"/>
              <w:rPr>
                <w:b/>
              </w:rPr>
            </w:pPr>
          </w:p>
          <w:p w14:paraId="184F25D0" w14:textId="77777777" w:rsidR="006A7E44" w:rsidRDefault="006A7E44" w:rsidP="00044391">
            <w:pPr>
              <w:jc w:val="center"/>
              <w:rPr>
                <w:b/>
              </w:rPr>
            </w:pPr>
          </w:p>
          <w:p w14:paraId="2F6A5103" w14:textId="77777777" w:rsidR="006A7E44" w:rsidRDefault="006A7E44" w:rsidP="00044391">
            <w:pPr>
              <w:jc w:val="center"/>
              <w:rPr>
                <w:b/>
              </w:rPr>
            </w:pPr>
          </w:p>
          <w:p w14:paraId="1CB2BFA0" w14:textId="77777777" w:rsidR="006A7E44" w:rsidRDefault="006A7E44" w:rsidP="00044391">
            <w:pPr>
              <w:jc w:val="center"/>
              <w:rPr>
                <w:b/>
              </w:rPr>
            </w:pPr>
          </w:p>
          <w:p w14:paraId="106E274F" w14:textId="77777777" w:rsidR="006A7E44" w:rsidRDefault="006A7E44" w:rsidP="00044391">
            <w:pPr>
              <w:jc w:val="center"/>
              <w:rPr>
                <w:b/>
              </w:rPr>
            </w:pPr>
          </w:p>
          <w:p w14:paraId="6CE6AE6E" w14:textId="77777777" w:rsidR="006A7E44" w:rsidRDefault="006A7E44" w:rsidP="00044391">
            <w:pPr>
              <w:jc w:val="center"/>
              <w:rPr>
                <w:b/>
              </w:rPr>
            </w:pPr>
            <w:r>
              <w:rPr>
                <w:b/>
              </w:rPr>
              <w:t>KT</w:t>
            </w:r>
          </w:p>
          <w:p w14:paraId="68BE9CA8" w14:textId="77777777" w:rsidR="008E3FCE" w:rsidRDefault="008E3FCE" w:rsidP="00044391">
            <w:pPr>
              <w:jc w:val="center"/>
              <w:rPr>
                <w:b/>
              </w:rPr>
            </w:pPr>
          </w:p>
          <w:p w14:paraId="738CCC0B" w14:textId="77777777" w:rsidR="008E3FCE" w:rsidRDefault="008E3FCE" w:rsidP="00044391">
            <w:pPr>
              <w:jc w:val="center"/>
              <w:rPr>
                <w:b/>
              </w:rPr>
            </w:pPr>
          </w:p>
          <w:p w14:paraId="7B7CBB3A" w14:textId="77777777" w:rsidR="008E3FCE" w:rsidRDefault="008E3FCE" w:rsidP="00044391">
            <w:pPr>
              <w:jc w:val="center"/>
              <w:rPr>
                <w:b/>
              </w:rPr>
            </w:pPr>
          </w:p>
          <w:p w14:paraId="7B279C60" w14:textId="77777777" w:rsidR="008E3FCE" w:rsidRDefault="008E3FCE" w:rsidP="00044391">
            <w:pPr>
              <w:jc w:val="center"/>
              <w:rPr>
                <w:b/>
              </w:rPr>
            </w:pPr>
          </w:p>
          <w:p w14:paraId="39A6F5E7" w14:textId="77777777" w:rsidR="008E3FCE" w:rsidRDefault="008E3FCE" w:rsidP="00044391">
            <w:pPr>
              <w:jc w:val="center"/>
              <w:rPr>
                <w:b/>
              </w:rPr>
            </w:pPr>
          </w:p>
          <w:p w14:paraId="55346F77" w14:textId="77777777" w:rsidR="008E3FCE" w:rsidRDefault="008E3FCE" w:rsidP="00044391">
            <w:pPr>
              <w:jc w:val="center"/>
              <w:rPr>
                <w:b/>
              </w:rPr>
            </w:pPr>
          </w:p>
          <w:p w14:paraId="57A50C2F" w14:textId="77777777" w:rsidR="008E3FCE" w:rsidRDefault="008E3FCE" w:rsidP="00044391">
            <w:pPr>
              <w:jc w:val="center"/>
              <w:rPr>
                <w:b/>
              </w:rPr>
            </w:pPr>
          </w:p>
          <w:p w14:paraId="71D14CC0" w14:textId="77777777" w:rsidR="008E3FCE" w:rsidRDefault="008E3FCE" w:rsidP="00044391">
            <w:pPr>
              <w:jc w:val="center"/>
              <w:rPr>
                <w:b/>
              </w:rPr>
            </w:pPr>
          </w:p>
          <w:p w14:paraId="057A4E40" w14:textId="77777777" w:rsidR="008E3FCE" w:rsidRDefault="008E3FCE" w:rsidP="00044391">
            <w:pPr>
              <w:jc w:val="center"/>
              <w:rPr>
                <w:b/>
              </w:rPr>
            </w:pPr>
          </w:p>
          <w:p w14:paraId="4018A153" w14:textId="77777777" w:rsidR="008E3FCE" w:rsidRDefault="008E3FCE" w:rsidP="00044391">
            <w:pPr>
              <w:jc w:val="center"/>
              <w:rPr>
                <w:b/>
              </w:rPr>
            </w:pPr>
          </w:p>
          <w:p w14:paraId="0BF1D036" w14:textId="77777777" w:rsidR="008E3FCE" w:rsidRDefault="008E3FCE" w:rsidP="00044391">
            <w:pPr>
              <w:jc w:val="center"/>
              <w:rPr>
                <w:b/>
              </w:rPr>
            </w:pPr>
          </w:p>
          <w:p w14:paraId="56CD600A" w14:textId="77777777" w:rsidR="008E3FCE" w:rsidRDefault="008E3FCE" w:rsidP="00044391">
            <w:pPr>
              <w:jc w:val="center"/>
              <w:rPr>
                <w:b/>
              </w:rPr>
            </w:pPr>
          </w:p>
        </w:tc>
      </w:tr>
      <w:tr w:rsidR="001F1A5C" w14:paraId="12DD722D" w14:textId="77777777" w:rsidTr="008E04C1">
        <w:tc>
          <w:tcPr>
            <w:tcW w:w="562" w:type="dxa"/>
          </w:tcPr>
          <w:p w14:paraId="76611780" w14:textId="77777777" w:rsidR="001F1A5C" w:rsidRDefault="00F841E0" w:rsidP="00006797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05CF7075" w14:textId="77777777" w:rsidR="00F841E0" w:rsidRDefault="00F841E0" w:rsidP="00006797">
            <w:pPr>
              <w:rPr>
                <w:b/>
              </w:rPr>
            </w:pPr>
          </w:p>
          <w:p w14:paraId="0219DBCD" w14:textId="77777777" w:rsidR="00F841E0" w:rsidRDefault="00F841E0" w:rsidP="00006797">
            <w:pPr>
              <w:rPr>
                <w:bCs/>
              </w:rPr>
            </w:pPr>
            <w:r>
              <w:rPr>
                <w:bCs/>
              </w:rPr>
              <w:t>2.1</w:t>
            </w:r>
          </w:p>
          <w:p w14:paraId="3511E9CA" w14:textId="77777777" w:rsidR="001D42B4" w:rsidRDefault="001D42B4" w:rsidP="00006797">
            <w:pPr>
              <w:rPr>
                <w:bCs/>
              </w:rPr>
            </w:pPr>
          </w:p>
          <w:p w14:paraId="0B42CB92" w14:textId="77777777" w:rsidR="001D42B4" w:rsidRDefault="001D42B4" w:rsidP="00006797">
            <w:pPr>
              <w:rPr>
                <w:bCs/>
              </w:rPr>
            </w:pPr>
          </w:p>
          <w:p w14:paraId="1C885AB6" w14:textId="77777777" w:rsidR="001D42B4" w:rsidRDefault="001D42B4" w:rsidP="00006797">
            <w:pPr>
              <w:rPr>
                <w:bCs/>
              </w:rPr>
            </w:pPr>
          </w:p>
          <w:p w14:paraId="360CB436" w14:textId="77777777" w:rsidR="001D42B4" w:rsidRDefault="001D42B4" w:rsidP="00006797">
            <w:pPr>
              <w:rPr>
                <w:bCs/>
              </w:rPr>
            </w:pPr>
            <w:r>
              <w:rPr>
                <w:bCs/>
              </w:rPr>
              <w:t>2.2</w:t>
            </w:r>
          </w:p>
          <w:p w14:paraId="206A4905" w14:textId="77777777" w:rsidR="001D42B4" w:rsidRDefault="001D42B4" w:rsidP="00006797">
            <w:pPr>
              <w:rPr>
                <w:bCs/>
              </w:rPr>
            </w:pPr>
          </w:p>
          <w:p w14:paraId="288010A5" w14:textId="77777777" w:rsidR="001D42B4" w:rsidRDefault="001D42B4" w:rsidP="00006797">
            <w:pPr>
              <w:rPr>
                <w:bCs/>
              </w:rPr>
            </w:pPr>
          </w:p>
          <w:p w14:paraId="540B5CE3" w14:textId="77777777" w:rsidR="001D42B4" w:rsidRDefault="001D42B4" w:rsidP="00006797">
            <w:pPr>
              <w:rPr>
                <w:bCs/>
              </w:rPr>
            </w:pPr>
          </w:p>
          <w:p w14:paraId="52F74D3A" w14:textId="77777777" w:rsidR="001D42B4" w:rsidRDefault="001D42B4" w:rsidP="00006797">
            <w:pPr>
              <w:rPr>
                <w:bCs/>
              </w:rPr>
            </w:pPr>
          </w:p>
          <w:p w14:paraId="745A7EF6" w14:textId="77777777" w:rsidR="001D42B4" w:rsidRDefault="001D42B4" w:rsidP="00006797">
            <w:pPr>
              <w:rPr>
                <w:bCs/>
              </w:rPr>
            </w:pPr>
          </w:p>
          <w:p w14:paraId="4EC59BDA" w14:textId="77777777" w:rsidR="001D42B4" w:rsidRDefault="001D42B4" w:rsidP="00006797">
            <w:pPr>
              <w:rPr>
                <w:bCs/>
              </w:rPr>
            </w:pPr>
          </w:p>
          <w:p w14:paraId="0DF8D709" w14:textId="77777777" w:rsidR="001D42B4" w:rsidRDefault="001D42B4" w:rsidP="00006797">
            <w:pPr>
              <w:rPr>
                <w:bCs/>
              </w:rPr>
            </w:pPr>
            <w:r>
              <w:rPr>
                <w:bCs/>
              </w:rPr>
              <w:t>2.3</w:t>
            </w:r>
          </w:p>
          <w:p w14:paraId="1E5E29C5" w14:textId="77777777" w:rsidR="001D42B4" w:rsidRDefault="001D42B4" w:rsidP="00006797">
            <w:pPr>
              <w:rPr>
                <w:bCs/>
              </w:rPr>
            </w:pPr>
          </w:p>
          <w:p w14:paraId="1D753892" w14:textId="77777777" w:rsidR="001D42B4" w:rsidRDefault="001D42B4" w:rsidP="00006797">
            <w:pPr>
              <w:rPr>
                <w:bCs/>
              </w:rPr>
            </w:pPr>
          </w:p>
          <w:p w14:paraId="3507EFE3" w14:textId="77777777" w:rsidR="001D42B4" w:rsidRPr="00F841E0" w:rsidRDefault="001D42B4" w:rsidP="00006797">
            <w:pPr>
              <w:rPr>
                <w:bCs/>
              </w:rPr>
            </w:pPr>
            <w:r>
              <w:rPr>
                <w:bCs/>
              </w:rPr>
              <w:t>2.4</w:t>
            </w:r>
          </w:p>
        </w:tc>
        <w:tc>
          <w:tcPr>
            <w:tcW w:w="7371" w:type="dxa"/>
          </w:tcPr>
          <w:p w14:paraId="0C8AAFCF" w14:textId="77777777" w:rsidR="00F841E0" w:rsidRPr="00F841E0" w:rsidRDefault="001C3B05" w:rsidP="00F841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SRR/IR Identification and </w:t>
            </w:r>
            <w:r w:rsidR="00F841E0" w:rsidRPr="00F841E0">
              <w:rPr>
                <w:b/>
                <w:bCs/>
              </w:rPr>
              <w:t xml:space="preserve">HESA return </w:t>
            </w:r>
          </w:p>
          <w:p w14:paraId="3F875198" w14:textId="77777777" w:rsidR="001F1A5C" w:rsidRDefault="001F1A5C" w:rsidP="001F1A5C">
            <w:pPr>
              <w:pStyle w:val="ListParagraph"/>
              <w:ind w:left="35"/>
            </w:pPr>
          </w:p>
          <w:p w14:paraId="4552134E" w14:textId="77777777" w:rsidR="00F841E0" w:rsidRDefault="00F841E0" w:rsidP="001F1A5C">
            <w:pPr>
              <w:pStyle w:val="ListParagraph"/>
              <w:ind w:left="35"/>
            </w:pPr>
            <w:r>
              <w:t>KT confirmed the submission has been made to</w:t>
            </w:r>
            <w:r w:rsidR="001F1A5C">
              <w:t xml:space="preserve"> HESA</w:t>
            </w:r>
            <w:r w:rsidR="001C3B05">
              <w:t xml:space="preserve"> on 19</w:t>
            </w:r>
            <w:r w:rsidR="001C3B05" w:rsidRPr="001C3B05">
              <w:rPr>
                <w:vertAlign w:val="superscript"/>
              </w:rPr>
              <w:t>th</w:t>
            </w:r>
            <w:r w:rsidR="001C3B05">
              <w:t xml:space="preserve"> September</w:t>
            </w:r>
            <w:r>
              <w:t>.  There is now a further window of opportunity for further amendments to be made to the submission, until 5</w:t>
            </w:r>
            <w:r w:rsidRPr="00F841E0">
              <w:rPr>
                <w:vertAlign w:val="superscript"/>
              </w:rPr>
              <w:t>th</w:t>
            </w:r>
            <w:r>
              <w:t xml:space="preserve"> October.  </w:t>
            </w:r>
          </w:p>
          <w:p w14:paraId="78BB5E11" w14:textId="77777777" w:rsidR="00F841E0" w:rsidRDefault="00F841E0" w:rsidP="001F1A5C">
            <w:pPr>
              <w:pStyle w:val="ListParagraph"/>
              <w:ind w:left="35"/>
            </w:pPr>
          </w:p>
          <w:p w14:paraId="47149DFF" w14:textId="77777777" w:rsidR="001F1A5C" w:rsidRDefault="001C3B05" w:rsidP="00F841E0">
            <w:pPr>
              <w:pStyle w:val="ListParagraph"/>
              <w:ind w:left="35"/>
            </w:pPr>
            <w:r>
              <w:t>KT advised within the</w:t>
            </w:r>
            <w:r w:rsidR="00F841E0">
              <w:t xml:space="preserve"> </w:t>
            </w:r>
            <w:r w:rsidR="001F1A5C">
              <w:t xml:space="preserve">2 year </w:t>
            </w:r>
            <w:r w:rsidR="00F841E0">
              <w:t xml:space="preserve">timeframe </w:t>
            </w:r>
            <w:r>
              <w:t xml:space="preserve">for the output KPI, </w:t>
            </w:r>
            <w:r w:rsidR="001F1A5C">
              <w:t>17 staff have publications that have not been proposed or graded</w:t>
            </w:r>
            <w:r>
              <w:t xml:space="preserve"> for REF</w:t>
            </w:r>
            <w:r w:rsidR="001F1A5C">
              <w:t xml:space="preserve">.  </w:t>
            </w:r>
            <w:r w:rsidR="00F841E0">
              <w:t xml:space="preserve">From </w:t>
            </w:r>
            <w:r w:rsidR="001F1A5C">
              <w:t xml:space="preserve">these </w:t>
            </w:r>
            <w:r w:rsidR="00F841E0">
              <w:t xml:space="preserve">17 staff, </w:t>
            </w:r>
            <w:r w:rsidR="001F1A5C">
              <w:t xml:space="preserve">5 </w:t>
            </w:r>
            <w:r w:rsidR="00F841E0">
              <w:t xml:space="preserve">have been identified as being </w:t>
            </w:r>
            <w:r w:rsidR="001F1A5C">
              <w:t>SRR</w:t>
            </w:r>
            <w:r w:rsidR="00F841E0">
              <w:t xml:space="preserve">.  </w:t>
            </w:r>
            <w:r w:rsidR="001F1A5C">
              <w:t>KT will continue to work on this</w:t>
            </w:r>
            <w:r w:rsidR="00F841E0">
              <w:t xml:space="preserve"> and confirmed that to date, changes will not </w:t>
            </w:r>
            <w:r w:rsidR="001F1A5C">
              <w:t>move the UoAs into the next impact case study bracket</w:t>
            </w:r>
            <w:r w:rsidR="00F841E0">
              <w:t xml:space="preserve"> although on</w:t>
            </w:r>
            <w:r w:rsidR="001F1A5C">
              <w:t xml:space="preserve">e individual </w:t>
            </w:r>
            <w:r w:rsidR="00F841E0">
              <w:t xml:space="preserve">is waiting to hear from a publisher on the outcome of </w:t>
            </w:r>
            <w:r w:rsidR="00A152BC">
              <w:t>an article which could affect one UoA</w:t>
            </w:r>
            <w:r w:rsidR="001F1A5C">
              <w:t xml:space="preserve">.  </w:t>
            </w:r>
          </w:p>
          <w:p w14:paraId="7CFE2829" w14:textId="77777777" w:rsidR="001F1A5C" w:rsidRDefault="001F1A5C" w:rsidP="001F1A5C">
            <w:pPr>
              <w:pStyle w:val="ListParagraph"/>
              <w:ind w:left="35"/>
            </w:pPr>
          </w:p>
          <w:p w14:paraId="3D5795A5" w14:textId="77777777" w:rsidR="001F1A5C" w:rsidRDefault="001D42B4" w:rsidP="001F1A5C">
            <w:pPr>
              <w:pStyle w:val="ListParagraph"/>
              <w:ind w:left="35"/>
            </w:pPr>
            <w:r>
              <w:t>An</w:t>
            </w:r>
            <w:r w:rsidR="001F1A5C">
              <w:t xml:space="preserve"> equality impact assessment will </w:t>
            </w:r>
            <w:r w:rsidR="00A152BC">
              <w:t>need to be undertaken when the SRR/IR identification</w:t>
            </w:r>
            <w:r>
              <w:t xml:space="preserve"> work has been </w:t>
            </w:r>
            <w:r w:rsidR="001F1A5C">
              <w:t>completed.</w:t>
            </w:r>
          </w:p>
          <w:p w14:paraId="6414B261" w14:textId="77777777" w:rsidR="001D42B4" w:rsidRDefault="001D42B4" w:rsidP="001F1A5C">
            <w:pPr>
              <w:pStyle w:val="ListParagraph"/>
              <w:ind w:left="35"/>
            </w:pPr>
          </w:p>
          <w:p w14:paraId="090C3278" w14:textId="77777777" w:rsidR="001D42B4" w:rsidRDefault="00A152BC" w:rsidP="001D42B4">
            <w:pPr>
              <w:pStyle w:val="ListParagraph"/>
              <w:ind w:left="35"/>
            </w:pPr>
            <w:r>
              <w:t>KT advised that one</w:t>
            </w:r>
            <w:r w:rsidR="001D42B4">
              <w:t xml:space="preserve"> member of staff was found to have 2 different contracts and identified as not SRR </w:t>
            </w:r>
            <w:r w:rsidR="00FA25FB">
              <w:t xml:space="preserve">on the </w:t>
            </w:r>
            <w:r>
              <w:t xml:space="preserve">T&amp;R </w:t>
            </w:r>
            <w:r w:rsidR="001D42B4">
              <w:t>contract</w:t>
            </w:r>
            <w:r>
              <w:t xml:space="preserve"> but IR on the</w:t>
            </w:r>
            <w:r w:rsidR="001D42B4">
              <w:t xml:space="preserve"> research only so </w:t>
            </w:r>
            <w:r>
              <w:t xml:space="preserve">will be included as IR at fractional FTE. </w:t>
            </w:r>
          </w:p>
          <w:p w14:paraId="33F8E968" w14:textId="77777777" w:rsidR="001F1A5C" w:rsidRPr="001F1A5C" w:rsidRDefault="001F1A5C" w:rsidP="001F1A5C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6F1EFD04" w14:textId="77777777" w:rsidR="001F1A5C" w:rsidRDefault="001F1A5C" w:rsidP="00044391">
            <w:pPr>
              <w:jc w:val="center"/>
              <w:rPr>
                <w:b/>
              </w:rPr>
            </w:pPr>
          </w:p>
        </w:tc>
      </w:tr>
      <w:tr w:rsidR="001F1A5C" w14:paraId="348C0DEA" w14:textId="77777777" w:rsidTr="008E04C1">
        <w:tc>
          <w:tcPr>
            <w:tcW w:w="562" w:type="dxa"/>
          </w:tcPr>
          <w:p w14:paraId="5471D53B" w14:textId="77777777" w:rsidR="001F1A5C" w:rsidRDefault="001D42B4" w:rsidP="00006797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</w:p>
          <w:p w14:paraId="2E0E0AB5" w14:textId="77777777" w:rsidR="001D42B4" w:rsidRDefault="001D42B4" w:rsidP="00006797">
            <w:pPr>
              <w:rPr>
                <w:bCs/>
              </w:rPr>
            </w:pPr>
          </w:p>
          <w:p w14:paraId="6BBD8629" w14:textId="77777777" w:rsidR="001D42B4" w:rsidRPr="001D42B4" w:rsidRDefault="001D42B4" w:rsidP="00006797">
            <w:pPr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7371" w:type="dxa"/>
          </w:tcPr>
          <w:p w14:paraId="60D0CCE0" w14:textId="77777777" w:rsidR="001F1A5C" w:rsidRDefault="001F1A5C" w:rsidP="001F1A5C">
            <w:pPr>
              <w:pStyle w:val="ListParagraph"/>
              <w:ind w:left="35"/>
            </w:pPr>
            <w:r>
              <w:rPr>
                <w:b/>
                <w:bCs/>
              </w:rPr>
              <w:t>REF Timeline</w:t>
            </w:r>
          </w:p>
          <w:p w14:paraId="4550A27D" w14:textId="77777777" w:rsidR="001F1A5C" w:rsidRDefault="001F1A5C" w:rsidP="001F1A5C">
            <w:pPr>
              <w:pStyle w:val="ListParagraph"/>
              <w:ind w:left="35"/>
            </w:pPr>
          </w:p>
          <w:p w14:paraId="41766B94" w14:textId="77777777" w:rsidR="001F1A5C" w:rsidRDefault="001F1A5C" w:rsidP="001F1A5C">
            <w:pPr>
              <w:pStyle w:val="ListParagraph"/>
              <w:ind w:left="35"/>
            </w:pPr>
            <w:r>
              <w:t xml:space="preserve">TT </w:t>
            </w:r>
            <w:r w:rsidR="00A13342">
              <w:t xml:space="preserve">presented the document which </w:t>
            </w:r>
            <w:r w:rsidR="00A152BC">
              <w:t xml:space="preserve">was agreed with </w:t>
            </w:r>
            <w:r>
              <w:t>UoA Co-ordinators</w:t>
            </w:r>
            <w:r w:rsidR="00A152BC">
              <w:t xml:space="preserve"> and ADREs </w:t>
            </w:r>
            <w:r>
              <w:t xml:space="preserve">in early September.  There is also a separate document </w:t>
            </w:r>
            <w:r w:rsidR="00A454DF">
              <w:t>to assist them with data for inclusion withi</w:t>
            </w:r>
            <w:r>
              <w:t xml:space="preserve">n environment </w:t>
            </w:r>
            <w:r w:rsidR="00A13342">
              <w:t>statements</w:t>
            </w:r>
            <w:r>
              <w:t xml:space="preserve">. </w:t>
            </w:r>
            <w:r w:rsidR="00A152BC">
              <w:t>The target for final research output submission pools is end of October. B</w:t>
            </w:r>
            <w:r w:rsidR="00A454DF">
              <w:t xml:space="preserve">y Christmas, we are requesting </w:t>
            </w:r>
            <w:r w:rsidR="00A152BC">
              <w:t xml:space="preserve">final </w:t>
            </w:r>
            <w:r w:rsidR="00A454DF">
              <w:t>environment</w:t>
            </w:r>
            <w:r w:rsidR="006B68E7">
              <w:t xml:space="preserve"> statements be submitted and </w:t>
            </w:r>
            <w:r w:rsidR="00A454DF">
              <w:t xml:space="preserve">the </w:t>
            </w:r>
            <w:r w:rsidR="006B68E7">
              <w:t>end of January for impact case study final versions</w:t>
            </w:r>
            <w:r w:rsidR="00A152BC">
              <w:t xml:space="preserve">. This is to enable documents and </w:t>
            </w:r>
            <w:r w:rsidR="006B68E7">
              <w:t xml:space="preserve">meta data to be checked and completed </w:t>
            </w:r>
            <w:r w:rsidR="00A454DF">
              <w:t xml:space="preserve">for final </w:t>
            </w:r>
            <w:r w:rsidR="006B68E7">
              <w:t>submission at the end of March</w:t>
            </w:r>
            <w:r w:rsidR="00A454DF">
              <w:t xml:space="preserve">.  It is hoped by </w:t>
            </w:r>
            <w:r w:rsidR="006B68E7">
              <w:t xml:space="preserve">early March </w:t>
            </w:r>
            <w:r w:rsidR="00A454DF">
              <w:t xml:space="preserve">to </w:t>
            </w:r>
            <w:r w:rsidR="006B68E7">
              <w:t xml:space="preserve">be in a position to </w:t>
            </w:r>
            <w:r w:rsidR="00A454DF">
              <w:t>inform the</w:t>
            </w:r>
            <w:r w:rsidR="006B68E7">
              <w:t xml:space="preserve"> VC </w:t>
            </w:r>
            <w:r w:rsidR="00A454DF">
              <w:t xml:space="preserve">of </w:t>
            </w:r>
            <w:r w:rsidR="006B68E7">
              <w:t xml:space="preserve">the </w:t>
            </w:r>
            <w:r w:rsidR="00A454DF">
              <w:t xml:space="preserve">final </w:t>
            </w:r>
            <w:r w:rsidR="006B68E7">
              <w:t>position.</w:t>
            </w:r>
          </w:p>
          <w:p w14:paraId="7709E241" w14:textId="77777777" w:rsidR="006B68E7" w:rsidRPr="001F1A5C" w:rsidRDefault="006B68E7" w:rsidP="001F1A5C">
            <w:pPr>
              <w:pStyle w:val="ListParagraph"/>
              <w:ind w:left="35"/>
            </w:pPr>
          </w:p>
        </w:tc>
        <w:tc>
          <w:tcPr>
            <w:tcW w:w="1083" w:type="dxa"/>
          </w:tcPr>
          <w:p w14:paraId="5139E17B" w14:textId="77777777" w:rsidR="001F1A5C" w:rsidRDefault="001F1A5C" w:rsidP="00044391">
            <w:pPr>
              <w:jc w:val="center"/>
              <w:rPr>
                <w:b/>
              </w:rPr>
            </w:pPr>
          </w:p>
        </w:tc>
      </w:tr>
      <w:tr w:rsidR="006B68E7" w14:paraId="34E432A6" w14:textId="77777777" w:rsidTr="008E04C1">
        <w:tc>
          <w:tcPr>
            <w:tcW w:w="562" w:type="dxa"/>
          </w:tcPr>
          <w:p w14:paraId="7BFEA8DD" w14:textId="77777777" w:rsidR="006B68E7" w:rsidRPr="00B46742" w:rsidRDefault="00A454DF" w:rsidP="00006797">
            <w:pPr>
              <w:rPr>
                <w:bCs/>
              </w:rPr>
            </w:pPr>
            <w:r w:rsidRPr="00B46742">
              <w:rPr>
                <w:bCs/>
              </w:rPr>
              <w:t>4.</w:t>
            </w:r>
          </w:p>
          <w:p w14:paraId="73A124D6" w14:textId="77777777" w:rsidR="00A454DF" w:rsidRPr="00B46742" w:rsidRDefault="00A454DF" w:rsidP="00006797">
            <w:pPr>
              <w:rPr>
                <w:bCs/>
              </w:rPr>
            </w:pPr>
          </w:p>
          <w:p w14:paraId="080F1E01" w14:textId="77777777" w:rsidR="00A454DF" w:rsidRPr="00B46742" w:rsidRDefault="00A454DF" w:rsidP="00006797">
            <w:pPr>
              <w:rPr>
                <w:bCs/>
              </w:rPr>
            </w:pPr>
            <w:r w:rsidRPr="00B46742">
              <w:rPr>
                <w:bCs/>
              </w:rPr>
              <w:t>4.1</w:t>
            </w:r>
          </w:p>
          <w:p w14:paraId="46FED45F" w14:textId="77777777" w:rsidR="00B46742" w:rsidRPr="00B46742" w:rsidRDefault="00B46742" w:rsidP="00006797">
            <w:pPr>
              <w:rPr>
                <w:bCs/>
              </w:rPr>
            </w:pPr>
          </w:p>
          <w:p w14:paraId="39260958" w14:textId="77777777" w:rsidR="00B46742" w:rsidRPr="00B46742" w:rsidRDefault="00B46742" w:rsidP="00006797">
            <w:pPr>
              <w:rPr>
                <w:bCs/>
              </w:rPr>
            </w:pPr>
          </w:p>
          <w:p w14:paraId="03413DBA" w14:textId="77777777" w:rsidR="00B46742" w:rsidRPr="00B46742" w:rsidRDefault="00B46742" w:rsidP="00006797">
            <w:pPr>
              <w:rPr>
                <w:bCs/>
              </w:rPr>
            </w:pPr>
            <w:r w:rsidRPr="00B46742">
              <w:rPr>
                <w:bCs/>
              </w:rPr>
              <w:t>4.2</w:t>
            </w:r>
          </w:p>
          <w:p w14:paraId="78E9CA5B" w14:textId="77777777" w:rsidR="00B46742" w:rsidRPr="00B46742" w:rsidRDefault="00B46742" w:rsidP="00006797">
            <w:pPr>
              <w:rPr>
                <w:bCs/>
              </w:rPr>
            </w:pPr>
          </w:p>
          <w:p w14:paraId="3C04F155" w14:textId="77777777" w:rsidR="00B46742" w:rsidRPr="00B46742" w:rsidRDefault="00B46742" w:rsidP="00006797">
            <w:pPr>
              <w:rPr>
                <w:bCs/>
              </w:rPr>
            </w:pPr>
          </w:p>
          <w:p w14:paraId="24AB266B" w14:textId="77777777" w:rsidR="00B46742" w:rsidRPr="00B46742" w:rsidRDefault="00B46742" w:rsidP="00006797">
            <w:pPr>
              <w:rPr>
                <w:bCs/>
              </w:rPr>
            </w:pPr>
          </w:p>
          <w:p w14:paraId="54ED96DC" w14:textId="77777777" w:rsidR="00EE30BE" w:rsidRDefault="00EE30BE" w:rsidP="00006797">
            <w:pPr>
              <w:rPr>
                <w:bCs/>
              </w:rPr>
            </w:pPr>
          </w:p>
          <w:p w14:paraId="39C15468" w14:textId="77777777" w:rsidR="00B46742" w:rsidRDefault="006741B4" w:rsidP="00006797">
            <w:pPr>
              <w:rPr>
                <w:bCs/>
              </w:rPr>
            </w:pPr>
            <w:r>
              <w:rPr>
                <w:bCs/>
              </w:rPr>
              <w:t>4.3</w:t>
            </w:r>
          </w:p>
          <w:p w14:paraId="48CFF57E" w14:textId="77777777" w:rsidR="00B46742" w:rsidRDefault="00B46742" w:rsidP="00006797">
            <w:pPr>
              <w:rPr>
                <w:bCs/>
              </w:rPr>
            </w:pPr>
          </w:p>
          <w:p w14:paraId="6D09C933" w14:textId="77777777" w:rsidR="00B46742" w:rsidRDefault="00B46742" w:rsidP="00006797">
            <w:pPr>
              <w:rPr>
                <w:bCs/>
              </w:rPr>
            </w:pPr>
          </w:p>
          <w:p w14:paraId="4B120AED" w14:textId="77777777" w:rsidR="00B46742" w:rsidRDefault="00B46742" w:rsidP="00006797">
            <w:pPr>
              <w:rPr>
                <w:bCs/>
              </w:rPr>
            </w:pPr>
          </w:p>
          <w:p w14:paraId="26A35FF6" w14:textId="77777777" w:rsidR="00B46742" w:rsidRDefault="006741B4" w:rsidP="00006797">
            <w:pPr>
              <w:rPr>
                <w:bCs/>
              </w:rPr>
            </w:pPr>
            <w:r>
              <w:rPr>
                <w:bCs/>
              </w:rPr>
              <w:t>4.4</w:t>
            </w:r>
          </w:p>
          <w:p w14:paraId="30BFA00D" w14:textId="77777777" w:rsidR="008D76AB" w:rsidRDefault="008D76AB" w:rsidP="00006797">
            <w:pPr>
              <w:rPr>
                <w:bCs/>
              </w:rPr>
            </w:pPr>
          </w:p>
          <w:p w14:paraId="3CECD533" w14:textId="77777777" w:rsidR="008D76AB" w:rsidRDefault="008D76AB" w:rsidP="00006797">
            <w:pPr>
              <w:rPr>
                <w:bCs/>
              </w:rPr>
            </w:pPr>
          </w:p>
          <w:p w14:paraId="13BD4A1F" w14:textId="77777777" w:rsidR="008D76AB" w:rsidRDefault="008D76AB" w:rsidP="00006797">
            <w:pPr>
              <w:rPr>
                <w:bCs/>
              </w:rPr>
            </w:pPr>
          </w:p>
          <w:p w14:paraId="78B0375D" w14:textId="77777777" w:rsidR="008D76AB" w:rsidRDefault="008D76AB" w:rsidP="00006797">
            <w:pPr>
              <w:rPr>
                <w:bCs/>
              </w:rPr>
            </w:pPr>
          </w:p>
          <w:p w14:paraId="568B87BE" w14:textId="77777777" w:rsidR="008D76AB" w:rsidRDefault="008D76AB" w:rsidP="00006797">
            <w:pPr>
              <w:rPr>
                <w:bCs/>
              </w:rPr>
            </w:pPr>
          </w:p>
          <w:p w14:paraId="0E39F47A" w14:textId="51D2A3AB" w:rsidR="008D76AB" w:rsidRPr="00B46742" w:rsidRDefault="008D76AB" w:rsidP="00006797">
            <w:pPr>
              <w:rPr>
                <w:bCs/>
              </w:rPr>
            </w:pPr>
            <w:r>
              <w:rPr>
                <w:bCs/>
              </w:rPr>
              <w:t>4.5</w:t>
            </w:r>
          </w:p>
        </w:tc>
        <w:tc>
          <w:tcPr>
            <w:tcW w:w="7371" w:type="dxa"/>
          </w:tcPr>
          <w:p w14:paraId="60649FA5" w14:textId="77777777" w:rsidR="006B68E7" w:rsidRDefault="006B68E7" w:rsidP="001F1A5C">
            <w:pPr>
              <w:pStyle w:val="ListParagraph"/>
              <w:ind w:left="35"/>
              <w:rPr>
                <w:b/>
                <w:bCs/>
              </w:rPr>
            </w:pPr>
            <w:r>
              <w:rPr>
                <w:b/>
                <w:bCs/>
              </w:rPr>
              <w:t>AOB</w:t>
            </w:r>
          </w:p>
          <w:p w14:paraId="0F4D670B" w14:textId="77777777" w:rsidR="006B68E7" w:rsidRDefault="006B68E7" w:rsidP="001F1A5C">
            <w:pPr>
              <w:pStyle w:val="ListParagraph"/>
              <w:ind w:left="35"/>
              <w:rPr>
                <w:b/>
                <w:bCs/>
              </w:rPr>
            </w:pPr>
          </w:p>
          <w:p w14:paraId="2776CC44" w14:textId="77777777" w:rsidR="006B68E7" w:rsidRDefault="006B68E7" w:rsidP="001F1A5C">
            <w:pPr>
              <w:pStyle w:val="ListParagraph"/>
              <w:ind w:left="35"/>
            </w:pPr>
            <w:r w:rsidRPr="006B68E7">
              <w:t xml:space="preserve">AB </w:t>
            </w:r>
            <w:r w:rsidR="00FA25FB">
              <w:t xml:space="preserve">asked whether there are </w:t>
            </w:r>
            <w:r>
              <w:t xml:space="preserve">any </w:t>
            </w:r>
            <w:r w:rsidR="00FA25FB">
              <w:t xml:space="preserve">areas </w:t>
            </w:r>
            <w:r>
              <w:t xml:space="preserve">of sufficient </w:t>
            </w:r>
            <w:r w:rsidR="00FA25FB">
              <w:t xml:space="preserve">concern </w:t>
            </w:r>
            <w:r w:rsidR="00F171DD">
              <w:t>that should be flagged in advance with the VC.</w:t>
            </w:r>
            <w:r>
              <w:t xml:space="preserve"> </w:t>
            </w:r>
          </w:p>
          <w:p w14:paraId="13871A2F" w14:textId="77777777" w:rsidR="006B68E7" w:rsidRDefault="006B68E7" w:rsidP="001F1A5C">
            <w:pPr>
              <w:pStyle w:val="ListParagraph"/>
              <w:ind w:left="35"/>
            </w:pPr>
          </w:p>
          <w:p w14:paraId="41042982" w14:textId="77777777" w:rsidR="006B68E7" w:rsidRDefault="00F171DD" w:rsidP="001F1A5C">
            <w:pPr>
              <w:pStyle w:val="ListParagraph"/>
              <w:ind w:left="35"/>
            </w:pPr>
            <w:r>
              <w:t xml:space="preserve">The impact case studies of some UoAs were discussed and concerns </w:t>
            </w:r>
            <w:r w:rsidR="00A152BC">
              <w:t>that the potential</w:t>
            </w:r>
            <w:r>
              <w:t xml:space="preserve"> </w:t>
            </w:r>
            <w:r w:rsidR="00A152BC">
              <w:t>scores may not be achieved</w:t>
            </w:r>
            <w:r>
              <w:t xml:space="preserve">.  </w:t>
            </w:r>
            <w:r w:rsidR="006B68E7">
              <w:t>TT /ES</w:t>
            </w:r>
            <w:r>
              <w:t xml:space="preserve"> are</w:t>
            </w:r>
            <w:r w:rsidR="006B68E7">
              <w:t xml:space="preserve"> </w:t>
            </w:r>
            <w:r w:rsidR="00A152BC">
              <w:t xml:space="preserve">focusing their support most intensively in AS and ADA where there is no impact officer </w:t>
            </w:r>
            <w:r w:rsidR="00EE30BE">
              <w:t>support, but also engaging with the other Schools regularly.</w:t>
            </w:r>
          </w:p>
          <w:p w14:paraId="57B92F0D" w14:textId="77777777" w:rsidR="006B68E7" w:rsidRDefault="006B68E7" w:rsidP="001F1A5C">
            <w:pPr>
              <w:pStyle w:val="ListParagraph"/>
              <w:ind w:left="35"/>
            </w:pPr>
          </w:p>
          <w:p w14:paraId="764EE2DB" w14:textId="77777777" w:rsidR="006B68E7" w:rsidRDefault="00EE30BE" w:rsidP="001F1A5C">
            <w:pPr>
              <w:pStyle w:val="ListParagraph"/>
              <w:ind w:left="35"/>
            </w:pPr>
            <w:r>
              <w:t>Very few</w:t>
            </w:r>
            <w:r w:rsidR="006B68E7">
              <w:t xml:space="preserve"> case studies </w:t>
            </w:r>
            <w:r w:rsidR="00F171DD">
              <w:t xml:space="preserve">are </w:t>
            </w:r>
            <w:r>
              <w:t xml:space="preserve">close to being </w:t>
            </w:r>
            <w:r w:rsidR="006B68E7">
              <w:t>ready</w:t>
            </w:r>
            <w:r w:rsidR="006741B4">
              <w:t>, and</w:t>
            </w:r>
            <w:r w:rsidR="006B68E7">
              <w:t xml:space="preserve"> others </w:t>
            </w:r>
            <w:r w:rsidR="00F171DD">
              <w:t xml:space="preserve">require more evidence work to be undertaken </w:t>
            </w:r>
            <w:r w:rsidR="006D6E56">
              <w:t>to</w:t>
            </w:r>
            <w:r w:rsidR="00F171DD">
              <w:t xml:space="preserve"> improve them</w:t>
            </w:r>
            <w:r w:rsidR="006D6E56">
              <w:t>.  All Schools are involved with trying to make progress</w:t>
            </w:r>
            <w:r w:rsidR="00F171DD">
              <w:t>.</w:t>
            </w:r>
            <w:r w:rsidR="006D6E56">
              <w:t xml:space="preserve"> </w:t>
            </w:r>
          </w:p>
          <w:p w14:paraId="05599847" w14:textId="77777777" w:rsidR="006D6E56" w:rsidRDefault="006D6E56" w:rsidP="003D50E2"/>
          <w:p w14:paraId="5933A213" w14:textId="77777777" w:rsidR="006741B4" w:rsidRDefault="006D6E56" w:rsidP="00B46742">
            <w:pPr>
              <w:pStyle w:val="ListParagraph"/>
              <w:ind w:left="35"/>
            </w:pPr>
            <w:r>
              <w:t xml:space="preserve">AB asked for </w:t>
            </w:r>
            <w:r w:rsidR="00B46742">
              <w:t xml:space="preserve">a progress </w:t>
            </w:r>
            <w:r>
              <w:t xml:space="preserve">paper on </w:t>
            </w:r>
            <w:r w:rsidR="00B46742">
              <w:t>developments</w:t>
            </w:r>
            <w:r>
              <w:t xml:space="preserve"> in preparation</w:t>
            </w:r>
            <w:r w:rsidR="00B46742">
              <w:t xml:space="preserve"> for submission</w:t>
            </w:r>
            <w:r>
              <w:t xml:space="preserve">.  LTA advised </w:t>
            </w:r>
            <w:r w:rsidR="00B46742">
              <w:t>that once</w:t>
            </w:r>
            <w:r>
              <w:t xml:space="preserve"> identification of staff</w:t>
            </w:r>
            <w:r w:rsidR="00B46742">
              <w:t xml:space="preserve"> has been completed</w:t>
            </w:r>
            <w:r>
              <w:t xml:space="preserve">, we can </w:t>
            </w:r>
            <w:r w:rsidR="00B46742">
              <w:t xml:space="preserve">confirm the number of </w:t>
            </w:r>
            <w:r>
              <w:t xml:space="preserve">case studies required and then create a summary.  </w:t>
            </w:r>
            <w:r w:rsidR="00B46742">
              <w:t>It was thought early November would be the earliest a summary paper would be ready for VC</w:t>
            </w:r>
            <w:r w:rsidR="006741B4">
              <w:t>E</w:t>
            </w:r>
            <w:r w:rsidR="00B46742">
              <w:t xml:space="preserve">G consideration.  </w:t>
            </w:r>
          </w:p>
          <w:p w14:paraId="2CDD9B47" w14:textId="77777777" w:rsidR="006741B4" w:rsidRDefault="006741B4" w:rsidP="00B46742">
            <w:pPr>
              <w:pStyle w:val="ListParagraph"/>
              <w:ind w:left="35"/>
            </w:pPr>
          </w:p>
          <w:p w14:paraId="4C9ACD9B" w14:textId="77777777" w:rsidR="006B68E7" w:rsidRPr="006B68E7" w:rsidRDefault="006741B4" w:rsidP="00B46742">
            <w:pPr>
              <w:pStyle w:val="ListParagraph"/>
              <w:ind w:left="35"/>
            </w:pPr>
            <w:r>
              <w:t>Post meeting note: A short update for VCEG would be prepared by the end of September and a more detailed report to following in November.</w:t>
            </w:r>
            <w:r w:rsidR="00B46742">
              <w:br/>
            </w:r>
          </w:p>
        </w:tc>
        <w:tc>
          <w:tcPr>
            <w:tcW w:w="1083" w:type="dxa"/>
          </w:tcPr>
          <w:p w14:paraId="69CE92D7" w14:textId="77777777" w:rsidR="006B68E7" w:rsidRDefault="006B68E7" w:rsidP="00044391">
            <w:pPr>
              <w:jc w:val="center"/>
              <w:rPr>
                <w:b/>
              </w:rPr>
            </w:pPr>
          </w:p>
        </w:tc>
      </w:tr>
    </w:tbl>
    <w:p w14:paraId="3177DD67" w14:textId="77777777" w:rsidR="00783D48" w:rsidRPr="00783D48" w:rsidRDefault="00783D48" w:rsidP="00FB1099">
      <w:pPr>
        <w:rPr>
          <w:b/>
        </w:rPr>
      </w:pPr>
    </w:p>
    <w:sectPr w:rsidR="00783D48" w:rsidRPr="00783D48" w:rsidSect="00F30107">
      <w:headerReference w:type="default" r:id="rId8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7D1AE" w14:textId="77777777" w:rsidR="006F7900" w:rsidRDefault="006F7900" w:rsidP="00EA003B">
      <w:pPr>
        <w:spacing w:after="0" w:line="240" w:lineRule="auto"/>
      </w:pPr>
      <w:r>
        <w:separator/>
      </w:r>
    </w:p>
  </w:endnote>
  <w:endnote w:type="continuationSeparator" w:id="0">
    <w:p w14:paraId="042A845E" w14:textId="77777777" w:rsidR="006F7900" w:rsidRDefault="006F7900" w:rsidP="00EA0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757CC0" w14:textId="77777777" w:rsidR="006F7900" w:rsidRDefault="006F7900" w:rsidP="00EA003B">
      <w:pPr>
        <w:spacing w:after="0" w:line="240" w:lineRule="auto"/>
      </w:pPr>
      <w:r>
        <w:separator/>
      </w:r>
    </w:p>
  </w:footnote>
  <w:footnote w:type="continuationSeparator" w:id="0">
    <w:p w14:paraId="156C6614" w14:textId="77777777" w:rsidR="006F7900" w:rsidRDefault="006F7900" w:rsidP="00EA0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FCFF5" w14:textId="77777777" w:rsidR="00EA003B" w:rsidRDefault="00EA00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D7272"/>
    <w:multiLevelType w:val="hybridMultilevel"/>
    <w:tmpl w:val="9F760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27B"/>
    <w:multiLevelType w:val="hybridMultilevel"/>
    <w:tmpl w:val="FB1AC418"/>
    <w:lvl w:ilvl="0" w:tplc="D67E4F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968DB"/>
    <w:multiLevelType w:val="hybridMultilevel"/>
    <w:tmpl w:val="6D38559C"/>
    <w:lvl w:ilvl="0" w:tplc="EC1EF576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5" w:hanging="360"/>
      </w:pPr>
    </w:lvl>
    <w:lvl w:ilvl="2" w:tplc="0809001B" w:tentative="1">
      <w:start w:val="1"/>
      <w:numFmt w:val="lowerRoman"/>
      <w:lvlText w:val="%3."/>
      <w:lvlJc w:val="right"/>
      <w:pPr>
        <w:ind w:left="1835" w:hanging="180"/>
      </w:pPr>
    </w:lvl>
    <w:lvl w:ilvl="3" w:tplc="0809000F" w:tentative="1">
      <w:start w:val="1"/>
      <w:numFmt w:val="decimal"/>
      <w:lvlText w:val="%4."/>
      <w:lvlJc w:val="left"/>
      <w:pPr>
        <w:ind w:left="2555" w:hanging="360"/>
      </w:pPr>
    </w:lvl>
    <w:lvl w:ilvl="4" w:tplc="08090019" w:tentative="1">
      <w:start w:val="1"/>
      <w:numFmt w:val="lowerLetter"/>
      <w:lvlText w:val="%5."/>
      <w:lvlJc w:val="left"/>
      <w:pPr>
        <w:ind w:left="3275" w:hanging="360"/>
      </w:pPr>
    </w:lvl>
    <w:lvl w:ilvl="5" w:tplc="0809001B" w:tentative="1">
      <w:start w:val="1"/>
      <w:numFmt w:val="lowerRoman"/>
      <w:lvlText w:val="%6."/>
      <w:lvlJc w:val="right"/>
      <w:pPr>
        <w:ind w:left="3995" w:hanging="180"/>
      </w:pPr>
    </w:lvl>
    <w:lvl w:ilvl="6" w:tplc="0809000F" w:tentative="1">
      <w:start w:val="1"/>
      <w:numFmt w:val="decimal"/>
      <w:lvlText w:val="%7."/>
      <w:lvlJc w:val="left"/>
      <w:pPr>
        <w:ind w:left="4715" w:hanging="360"/>
      </w:pPr>
    </w:lvl>
    <w:lvl w:ilvl="7" w:tplc="08090019" w:tentative="1">
      <w:start w:val="1"/>
      <w:numFmt w:val="lowerLetter"/>
      <w:lvlText w:val="%8."/>
      <w:lvlJc w:val="left"/>
      <w:pPr>
        <w:ind w:left="5435" w:hanging="360"/>
      </w:pPr>
    </w:lvl>
    <w:lvl w:ilvl="8" w:tplc="08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2100469C"/>
    <w:multiLevelType w:val="hybridMultilevel"/>
    <w:tmpl w:val="13CE2D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737B94"/>
    <w:multiLevelType w:val="hybridMultilevel"/>
    <w:tmpl w:val="67582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03A2C"/>
    <w:multiLevelType w:val="hybridMultilevel"/>
    <w:tmpl w:val="C5480924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797"/>
    <w:rsid w:val="00006797"/>
    <w:rsid w:val="0001114E"/>
    <w:rsid w:val="00016690"/>
    <w:rsid w:val="00020C33"/>
    <w:rsid w:val="00022195"/>
    <w:rsid w:val="0002528E"/>
    <w:rsid w:val="00026A75"/>
    <w:rsid w:val="00032544"/>
    <w:rsid w:val="00044391"/>
    <w:rsid w:val="000569AA"/>
    <w:rsid w:val="00076F5B"/>
    <w:rsid w:val="00077D17"/>
    <w:rsid w:val="000A2AA3"/>
    <w:rsid w:val="000A792B"/>
    <w:rsid w:val="000B64AC"/>
    <w:rsid w:val="000D4A55"/>
    <w:rsid w:val="000E67EB"/>
    <w:rsid w:val="000F12D5"/>
    <w:rsid w:val="00112851"/>
    <w:rsid w:val="0012630D"/>
    <w:rsid w:val="0013777E"/>
    <w:rsid w:val="001746A4"/>
    <w:rsid w:val="00174B21"/>
    <w:rsid w:val="00187249"/>
    <w:rsid w:val="00196C5D"/>
    <w:rsid w:val="001A0240"/>
    <w:rsid w:val="001B1AC9"/>
    <w:rsid w:val="001B4D3A"/>
    <w:rsid w:val="001B749D"/>
    <w:rsid w:val="001C3B05"/>
    <w:rsid w:val="001D42B4"/>
    <w:rsid w:val="001E0D5A"/>
    <w:rsid w:val="001E10BE"/>
    <w:rsid w:val="001E22D8"/>
    <w:rsid w:val="001E7BE1"/>
    <w:rsid w:val="001F1A5C"/>
    <w:rsid w:val="001F62D2"/>
    <w:rsid w:val="00223857"/>
    <w:rsid w:val="002452FE"/>
    <w:rsid w:val="00296201"/>
    <w:rsid w:val="002A689B"/>
    <w:rsid w:val="002B2B9C"/>
    <w:rsid w:val="002D0962"/>
    <w:rsid w:val="002D2B8B"/>
    <w:rsid w:val="002E1850"/>
    <w:rsid w:val="002E1F41"/>
    <w:rsid w:val="002F6711"/>
    <w:rsid w:val="00342855"/>
    <w:rsid w:val="00350AF2"/>
    <w:rsid w:val="00353F30"/>
    <w:rsid w:val="00356D84"/>
    <w:rsid w:val="003749EB"/>
    <w:rsid w:val="003942A4"/>
    <w:rsid w:val="003958F6"/>
    <w:rsid w:val="00396792"/>
    <w:rsid w:val="003B046E"/>
    <w:rsid w:val="003B64BC"/>
    <w:rsid w:val="003D4F24"/>
    <w:rsid w:val="003D50E2"/>
    <w:rsid w:val="003E2D5C"/>
    <w:rsid w:val="00411269"/>
    <w:rsid w:val="00435F7E"/>
    <w:rsid w:val="00442C1D"/>
    <w:rsid w:val="004507DF"/>
    <w:rsid w:val="0046329C"/>
    <w:rsid w:val="004644F6"/>
    <w:rsid w:val="00476253"/>
    <w:rsid w:val="00484FBA"/>
    <w:rsid w:val="00493D04"/>
    <w:rsid w:val="004A4B15"/>
    <w:rsid w:val="004A69EE"/>
    <w:rsid w:val="004A7C7A"/>
    <w:rsid w:val="004B674D"/>
    <w:rsid w:val="004D6356"/>
    <w:rsid w:val="004D6381"/>
    <w:rsid w:val="004E163D"/>
    <w:rsid w:val="004E3010"/>
    <w:rsid w:val="004F2CFA"/>
    <w:rsid w:val="00510905"/>
    <w:rsid w:val="00510CA5"/>
    <w:rsid w:val="0051228A"/>
    <w:rsid w:val="00514FBF"/>
    <w:rsid w:val="005167D3"/>
    <w:rsid w:val="00542AD9"/>
    <w:rsid w:val="00554639"/>
    <w:rsid w:val="00562253"/>
    <w:rsid w:val="005671A3"/>
    <w:rsid w:val="00587FAE"/>
    <w:rsid w:val="0059008E"/>
    <w:rsid w:val="005A4197"/>
    <w:rsid w:val="005A526D"/>
    <w:rsid w:val="005A676A"/>
    <w:rsid w:val="005B1E9D"/>
    <w:rsid w:val="005B3738"/>
    <w:rsid w:val="005C2413"/>
    <w:rsid w:val="005C42EE"/>
    <w:rsid w:val="005D290C"/>
    <w:rsid w:val="005D7C68"/>
    <w:rsid w:val="005E5091"/>
    <w:rsid w:val="005F1F28"/>
    <w:rsid w:val="00600D2B"/>
    <w:rsid w:val="006140AD"/>
    <w:rsid w:val="00633D35"/>
    <w:rsid w:val="00640F77"/>
    <w:rsid w:val="00647E4F"/>
    <w:rsid w:val="00652BD7"/>
    <w:rsid w:val="006741B4"/>
    <w:rsid w:val="006A7E44"/>
    <w:rsid w:val="006B68E7"/>
    <w:rsid w:val="006C1CC1"/>
    <w:rsid w:val="006C1E78"/>
    <w:rsid w:val="006D6E56"/>
    <w:rsid w:val="006E0626"/>
    <w:rsid w:val="006E6547"/>
    <w:rsid w:val="006F2501"/>
    <w:rsid w:val="006F26EA"/>
    <w:rsid w:val="006F7900"/>
    <w:rsid w:val="00705BF0"/>
    <w:rsid w:val="00707A5F"/>
    <w:rsid w:val="00711863"/>
    <w:rsid w:val="00725D4E"/>
    <w:rsid w:val="007274BB"/>
    <w:rsid w:val="00743FC0"/>
    <w:rsid w:val="00746727"/>
    <w:rsid w:val="0075786A"/>
    <w:rsid w:val="00761BBA"/>
    <w:rsid w:val="00783D48"/>
    <w:rsid w:val="00792785"/>
    <w:rsid w:val="007B27D4"/>
    <w:rsid w:val="007B31BD"/>
    <w:rsid w:val="007B4A16"/>
    <w:rsid w:val="007C0794"/>
    <w:rsid w:val="007C4E8B"/>
    <w:rsid w:val="007C5EFC"/>
    <w:rsid w:val="007D56B2"/>
    <w:rsid w:val="00833DA0"/>
    <w:rsid w:val="0085329D"/>
    <w:rsid w:val="0089192A"/>
    <w:rsid w:val="0089755F"/>
    <w:rsid w:val="008B2375"/>
    <w:rsid w:val="008B683E"/>
    <w:rsid w:val="008D76AB"/>
    <w:rsid w:val="008E04C1"/>
    <w:rsid w:val="008E3FCE"/>
    <w:rsid w:val="008F2FC7"/>
    <w:rsid w:val="00910805"/>
    <w:rsid w:val="0091592D"/>
    <w:rsid w:val="00944C26"/>
    <w:rsid w:val="00947B2B"/>
    <w:rsid w:val="00984D86"/>
    <w:rsid w:val="009970AF"/>
    <w:rsid w:val="009B2F7C"/>
    <w:rsid w:val="009C2D3E"/>
    <w:rsid w:val="009F35E3"/>
    <w:rsid w:val="009F68E7"/>
    <w:rsid w:val="00A01C65"/>
    <w:rsid w:val="00A10F55"/>
    <w:rsid w:val="00A13342"/>
    <w:rsid w:val="00A152BC"/>
    <w:rsid w:val="00A24D4F"/>
    <w:rsid w:val="00A27423"/>
    <w:rsid w:val="00A30EF2"/>
    <w:rsid w:val="00A3598F"/>
    <w:rsid w:val="00A40F25"/>
    <w:rsid w:val="00A41B76"/>
    <w:rsid w:val="00A454DF"/>
    <w:rsid w:val="00A51C70"/>
    <w:rsid w:val="00A611F6"/>
    <w:rsid w:val="00A867E2"/>
    <w:rsid w:val="00A9378F"/>
    <w:rsid w:val="00A95857"/>
    <w:rsid w:val="00A97C8B"/>
    <w:rsid w:val="00AA558C"/>
    <w:rsid w:val="00AF02AE"/>
    <w:rsid w:val="00AF1E1B"/>
    <w:rsid w:val="00AF210D"/>
    <w:rsid w:val="00AF4ACA"/>
    <w:rsid w:val="00AF5323"/>
    <w:rsid w:val="00AF6F5D"/>
    <w:rsid w:val="00B038D6"/>
    <w:rsid w:val="00B17D2F"/>
    <w:rsid w:val="00B22A1F"/>
    <w:rsid w:val="00B27B3F"/>
    <w:rsid w:val="00B35196"/>
    <w:rsid w:val="00B3665C"/>
    <w:rsid w:val="00B36DF1"/>
    <w:rsid w:val="00B46742"/>
    <w:rsid w:val="00B52E35"/>
    <w:rsid w:val="00B7484B"/>
    <w:rsid w:val="00BA7B14"/>
    <w:rsid w:val="00BA7E46"/>
    <w:rsid w:val="00BC084A"/>
    <w:rsid w:val="00BC0FD6"/>
    <w:rsid w:val="00BC24B1"/>
    <w:rsid w:val="00BC722C"/>
    <w:rsid w:val="00BD7328"/>
    <w:rsid w:val="00BF0BC6"/>
    <w:rsid w:val="00BF60BC"/>
    <w:rsid w:val="00C15073"/>
    <w:rsid w:val="00C23337"/>
    <w:rsid w:val="00C35FEF"/>
    <w:rsid w:val="00C4798F"/>
    <w:rsid w:val="00C50077"/>
    <w:rsid w:val="00C54CF3"/>
    <w:rsid w:val="00C55520"/>
    <w:rsid w:val="00C55F37"/>
    <w:rsid w:val="00C93228"/>
    <w:rsid w:val="00CA0BB5"/>
    <w:rsid w:val="00CA1067"/>
    <w:rsid w:val="00CB45AC"/>
    <w:rsid w:val="00CC5DC5"/>
    <w:rsid w:val="00CD3BA8"/>
    <w:rsid w:val="00CE55FA"/>
    <w:rsid w:val="00CE6564"/>
    <w:rsid w:val="00D16578"/>
    <w:rsid w:val="00D2180E"/>
    <w:rsid w:val="00D2357B"/>
    <w:rsid w:val="00D31737"/>
    <w:rsid w:val="00D426A5"/>
    <w:rsid w:val="00D4317E"/>
    <w:rsid w:val="00D4435C"/>
    <w:rsid w:val="00D445BF"/>
    <w:rsid w:val="00D47C9A"/>
    <w:rsid w:val="00D96CE3"/>
    <w:rsid w:val="00DC419D"/>
    <w:rsid w:val="00DF0B56"/>
    <w:rsid w:val="00DF4000"/>
    <w:rsid w:val="00E172D8"/>
    <w:rsid w:val="00E264A8"/>
    <w:rsid w:val="00E30D91"/>
    <w:rsid w:val="00E31187"/>
    <w:rsid w:val="00E40CEC"/>
    <w:rsid w:val="00E5577F"/>
    <w:rsid w:val="00E72668"/>
    <w:rsid w:val="00EA003B"/>
    <w:rsid w:val="00EA60BF"/>
    <w:rsid w:val="00EC5C0B"/>
    <w:rsid w:val="00ED2DCD"/>
    <w:rsid w:val="00ED3F98"/>
    <w:rsid w:val="00ED63E9"/>
    <w:rsid w:val="00EE30BE"/>
    <w:rsid w:val="00EE682C"/>
    <w:rsid w:val="00EF5E46"/>
    <w:rsid w:val="00EF6C5F"/>
    <w:rsid w:val="00F00FAF"/>
    <w:rsid w:val="00F03891"/>
    <w:rsid w:val="00F171DD"/>
    <w:rsid w:val="00F20378"/>
    <w:rsid w:val="00F27341"/>
    <w:rsid w:val="00F30107"/>
    <w:rsid w:val="00F3022C"/>
    <w:rsid w:val="00F674A6"/>
    <w:rsid w:val="00F762F4"/>
    <w:rsid w:val="00F77045"/>
    <w:rsid w:val="00F841E0"/>
    <w:rsid w:val="00FA25FB"/>
    <w:rsid w:val="00FA4560"/>
    <w:rsid w:val="00FB1099"/>
    <w:rsid w:val="00FB11D2"/>
    <w:rsid w:val="00FD5848"/>
    <w:rsid w:val="00FE628B"/>
    <w:rsid w:val="00FF4274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7E1FC6"/>
  <w15:chartTrackingRefBased/>
  <w15:docId w15:val="{531497CB-ED9A-4DD2-B740-78F2D2A9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6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3F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F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F30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35F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ListParagraph">
    <w:name w:val="List Paragraph"/>
    <w:basedOn w:val="Normal"/>
    <w:uiPriority w:val="34"/>
    <w:qFormat/>
    <w:rsid w:val="005D2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03B"/>
  </w:style>
  <w:style w:type="paragraph" w:styleId="Footer">
    <w:name w:val="footer"/>
    <w:basedOn w:val="Normal"/>
    <w:link w:val="FooterChar"/>
    <w:uiPriority w:val="99"/>
    <w:unhideWhenUsed/>
    <w:rsid w:val="00EA0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25EE6-3F43-4D4F-B886-9F4ECA972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Wills</dc:creator>
  <cp:keywords/>
  <dc:description/>
  <cp:lastModifiedBy>Deborah Wills</cp:lastModifiedBy>
  <cp:revision>3</cp:revision>
  <dcterms:created xsi:type="dcterms:W3CDTF">2020-09-24T09:27:00Z</dcterms:created>
  <dcterms:modified xsi:type="dcterms:W3CDTF">2020-09-24T09:28:00Z</dcterms:modified>
</cp:coreProperties>
</file>